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AC" w:rsidRDefault="0075205C" w:rsidP="00990360">
      <w:pPr>
        <w:ind w:right="1671"/>
        <w:rPr>
          <w:rFonts w:cs="Times New Roman"/>
          <w:b/>
          <w:sz w:val="44"/>
          <w:szCs w:val="32"/>
        </w:rPr>
      </w:pPr>
      <w:r>
        <w:rPr>
          <w:rFonts w:cs="Times New Roman"/>
          <w:b/>
          <w:sz w:val="44"/>
          <w:szCs w:val="32"/>
        </w:rPr>
        <w:t>Förberedelse för arbetsplatshandledning (5kp)</w:t>
      </w:r>
    </w:p>
    <w:p w:rsidR="00F72AAC" w:rsidRDefault="00F72AAC" w:rsidP="00990360">
      <w:pPr>
        <w:ind w:right="1671"/>
      </w:pPr>
    </w:p>
    <w:p w:rsidR="00F72AAC" w:rsidRPr="009F4996" w:rsidRDefault="00F72AAC" w:rsidP="00990360">
      <w:pPr>
        <w:spacing w:after="150"/>
        <w:ind w:right="1671"/>
        <w:rPr>
          <w:rFonts w:cs="Times New Roman"/>
          <w:b/>
          <w:sz w:val="28"/>
          <w:szCs w:val="28"/>
        </w:rPr>
      </w:pPr>
      <w:r w:rsidRPr="009F4996">
        <w:rPr>
          <w:rFonts w:cs="Times New Roman"/>
          <w:b/>
          <w:sz w:val="28"/>
          <w:szCs w:val="28"/>
        </w:rPr>
        <w:t>Bedömningskriterier</w:t>
      </w:r>
    </w:p>
    <w:p w:rsidR="00F72AAC" w:rsidRDefault="00F72AAC" w:rsidP="00990360">
      <w:pPr>
        <w:ind w:right="1671"/>
      </w:pPr>
    </w:p>
    <w:p w:rsidR="00F72AAC" w:rsidRDefault="00F72AAC" w:rsidP="00990360">
      <w:pPr>
        <w:ind w:right="1671"/>
      </w:pPr>
      <w:r>
        <w:t>Den studerande kan:</w:t>
      </w:r>
    </w:p>
    <w:p w:rsidR="0075205C" w:rsidRPr="004C32E2" w:rsidRDefault="0075205C" w:rsidP="00990360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right="1671"/>
        <w:rPr>
          <w:rFonts w:eastAsia="Times New Roman" w:cs="Times New Roman"/>
          <w:color w:val="1F1F1F"/>
          <w:szCs w:val="24"/>
          <w:lang w:eastAsia="sv-SE"/>
        </w:rPr>
      </w:pPr>
      <w:r w:rsidRPr="004C32E2">
        <w:rPr>
          <w:rFonts w:eastAsia="Times New Roman" w:cs="Times New Roman"/>
          <w:color w:val="1F1F1F"/>
          <w:szCs w:val="24"/>
          <w:lang w:eastAsia="sv-SE"/>
        </w:rPr>
        <w:t>sätta sig in i olika former för anordnande av yrkesutbildning och i yrkesinriktade examina</w:t>
      </w:r>
    </w:p>
    <w:p w:rsidR="0075205C" w:rsidRPr="004C32E2" w:rsidRDefault="0075205C" w:rsidP="00990360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right="1671"/>
        <w:rPr>
          <w:rFonts w:eastAsia="Times New Roman" w:cs="Times New Roman"/>
          <w:color w:val="1F1F1F"/>
          <w:szCs w:val="24"/>
          <w:lang w:eastAsia="sv-SE"/>
        </w:rPr>
      </w:pPr>
      <w:r w:rsidRPr="004C32E2">
        <w:rPr>
          <w:rFonts w:eastAsia="Times New Roman" w:cs="Times New Roman"/>
          <w:color w:val="1F1F1F"/>
          <w:szCs w:val="24"/>
          <w:lang w:eastAsia="sv-SE"/>
        </w:rPr>
        <w:t>verka som kontaktperson mellan utbildningsanordnaren och arbetsplatsen</w:t>
      </w:r>
    </w:p>
    <w:p w:rsidR="0075205C" w:rsidRPr="004C32E2" w:rsidRDefault="0075205C" w:rsidP="00990360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right="1671"/>
        <w:rPr>
          <w:rFonts w:eastAsia="Times New Roman" w:cs="Times New Roman"/>
          <w:color w:val="1F1F1F"/>
          <w:szCs w:val="24"/>
          <w:lang w:eastAsia="sv-SE"/>
        </w:rPr>
      </w:pPr>
      <w:r w:rsidRPr="004C32E2">
        <w:rPr>
          <w:rFonts w:eastAsia="Times New Roman" w:cs="Times New Roman"/>
          <w:color w:val="1F1F1F"/>
          <w:szCs w:val="24"/>
          <w:lang w:eastAsia="sv-SE"/>
        </w:rPr>
        <w:t>handleda andra studerande i utbildning som ordnas på en arbetsplats och i övrigt förvärvande av kunnande</w:t>
      </w:r>
    </w:p>
    <w:p w:rsidR="0075205C" w:rsidRPr="004C32E2" w:rsidRDefault="0075205C" w:rsidP="00990360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right="1671"/>
        <w:rPr>
          <w:rFonts w:eastAsia="Times New Roman" w:cs="Times New Roman"/>
          <w:color w:val="1F1F1F"/>
          <w:szCs w:val="24"/>
          <w:lang w:eastAsia="sv-SE"/>
        </w:rPr>
      </w:pPr>
      <w:r w:rsidRPr="004C32E2">
        <w:rPr>
          <w:rFonts w:eastAsia="Times New Roman" w:cs="Times New Roman"/>
          <w:color w:val="1F1F1F"/>
          <w:szCs w:val="24"/>
          <w:lang w:eastAsia="sv-SE"/>
        </w:rPr>
        <w:t>ge respons om utvecklingen av kunnandet</w:t>
      </w:r>
      <w:r w:rsidR="00EF6C0F">
        <w:rPr>
          <w:rFonts w:eastAsia="Times New Roman" w:cs="Times New Roman"/>
          <w:color w:val="1F1F1F"/>
          <w:szCs w:val="24"/>
          <w:lang w:eastAsia="sv-SE"/>
        </w:rPr>
        <w:t xml:space="preserve"> och yrkesprovet</w:t>
      </w:r>
      <w:r w:rsidRPr="004C32E2">
        <w:rPr>
          <w:rFonts w:eastAsia="Times New Roman" w:cs="Times New Roman"/>
          <w:color w:val="1F1F1F"/>
          <w:szCs w:val="24"/>
          <w:lang w:eastAsia="sv-SE"/>
        </w:rPr>
        <w:t>.</w:t>
      </w:r>
    </w:p>
    <w:p w:rsidR="00F72AAC" w:rsidRDefault="00F72AAC" w:rsidP="00990360">
      <w:pPr>
        <w:ind w:right="1671"/>
      </w:pPr>
    </w:p>
    <w:p w:rsidR="00E0706A" w:rsidRDefault="00F72AAC" w:rsidP="00990360">
      <w:pPr>
        <w:tabs>
          <w:tab w:val="left" w:pos="6663"/>
          <w:tab w:val="left" w:pos="7797"/>
        </w:tabs>
        <w:ind w:right="1671"/>
        <w:rPr>
          <w:b/>
        </w:rPr>
      </w:pPr>
      <w:r w:rsidRPr="00C57B25">
        <w:rPr>
          <w:b/>
        </w:rPr>
        <w:t>Delmål:</w:t>
      </w:r>
    </w:p>
    <w:p w:rsidR="00E0706A" w:rsidRPr="00E0706A" w:rsidRDefault="00E0706A" w:rsidP="00990360">
      <w:pPr>
        <w:tabs>
          <w:tab w:val="left" w:pos="6663"/>
          <w:tab w:val="left" w:pos="7797"/>
        </w:tabs>
        <w:ind w:right="1671"/>
      </w:pPr>
      <w:r w:rsidRPr="00E0706A">
        <w:t>Yrkesutbildningens olika former</w:t>
      </w:r>
      <w:r>
        <w:tab/>
        <w:t>1 kp</w:t>
      </w:r>
    </w:p>
    <w:p w:rsidR="00E0706A" w:rsidRPr="00E0706A" w:rsidRDefault="00E0706A" w:rsidP="00990360">
      <w:pPr>
        <w:tabs>
          <w:tab w:val="left" w:pos="6663"/>
          <w:tab w:val="left" w:pos="7797"/>
        </w:tabs>
        <w:ind w:right="1671"/>
      </w:pPr>
      <w:r w:rsidRPr="00E0706A">
        <w:t>Kontaktperson mellan skola och arbetsliv</w:t>
      </w:r>
      <w:r>
        <w:tab/>
        <w:t>1 kp</w:t>
      </w:r>
    </w:p>
    <w:p w:rsidR="00E0706A" w:rsidRPr="00E0706A" w:rsidRDefault="00E0706A" w:rsidP="00990360">
      <w:pPr>
        <w:tabs>
          <w:tab w:val="left" w:pos="6663"/>
          <w:tab w:val="left" w:pos="7797"/>
        </w:tabs>
        <w:ind w:right="1671"/>
      </w:pPr>
      <w:r w:rsidRPr="00E0706A">
        <w:t>Arbetsplatshandledning</w:t>
      </w:r>
      <w:r>
        <w:tab/>
        <w:t>2 kp</w:t>
      </w:r>
    </w:p>
    <w:p w:rsidR="00E0706A" w:rsidRPr="00E0706A" w:rsidRDefault="00E0706A" w:rsidP="00990360">
      <w:pPr>
        <w:tabs>
          <w:tab w:val="left" w:pos="6663"/>
          <w:tab w:val="left" w:pos="7797"/>
        </w:tabs>
        <w:ind w:right="1671"/>
      </w:pPr>
      <w:r w:rsidRPr="00E0706A">
        <w:t>Att ge feedback till studerande med beaktande av olikheter</w:t>
      </w:r>
      <w:r>
        <w:tab/>
        <w:t>1 kp</w:t>
      </w:r>
    </w:p>
    <w:p w:rsidR="00E0706A" w:rsidRPr="00E0706A" w:rsidRDefault="00E0706A" w:rsidP="00990360">
      <w:pPr>
        <w:tabs>
          <w:tab w:val="left" w:pos="6663"/>
          <w:tab w:val="left" w:pos="7797"/>
        </w:tabs>
        <w:ind w:right="1671"/>
        <w:rPr>
          <w:b/>
        </w:rPr>
      </w:pPr>
    </w:p>
    <w:p w:rsidR="0004315C" w:rsidRPr="00665AAC" w:rsidRDefault="00665AAC" w:rsidP="00990360">
      <w:pPr>
        <w:ind w:right="1671"/>
        <w:rPr>
          <w:b/>
          <w:sz w:val="28"/>
          <w:szCs w:val="28"/>
        </w:rPr>
      </w:pPr>
      <w:r w:rsidRPr="00665AAC">
        <w:rPr>
          <w:b/>
          <w:sz w:val="28"/>
          <w:szCs w:val="28"/>
        </w:rPr>
        <w:t>Förhandskrav för att delta i undervisningen</w:t>
      </w:r>
    </w:p>
    <w:p w:rsidR="00665AAC" w:rsidRDefault="00665AAC" w:rsidP="00990360">
      <w:pPr>
        <w:ind w:right="1671"/>
      </w:pPr>
      <w:r>
        <w:t>Inga</w:t>
      </w:r>
    </w:p>
    <w:p w:rsidR="00665AAC" w:rsidRDefault="00665AAC" w:rsidP="00990360">
      <w:pPr>
        <w:ind w:right="1671"/>
      </w:pPr>
    </w:p>
    <w:p w:rsidR="00665AAC" w:rsidRDefault="00665AAC" w:rsidP="00990360">
      <w:pPr>
        <w:ind w:right="1671"/>
        <w:rPr>
          <w:b/>
          <w:sz w:val="28"/>
          <w:szCs w:val="28"/>
        </w:rPr>
      </w:pPr>
      <w:proofErr w:type="spellStart"/>
      <w:r w:rsidRPr="00665AAC">
        <w:rPr>
          <w:b/>
          <w:sz w:val="28"/>
          <w:szCs w:val="28"/>
        </w:rPr>
        <w:t>Yrkesprovsbedömingens</w:t>
      </w:r>
      <w:proofErr w:type="spellEnd"/>
      <w:r w:rsidRPr="00665AAC">
        <w:rPr>
          <w:b/>
          <w:sz w:val="28"/>
          <w:szCs w:val="28"/>
        </w:rPr>
        <w:t xml:space="preserve"> innehåll – vad ska visas/vad ska ingå</w:t>
      </w:r>
    </w:p>
    <w:p w:rsidR="00665AAC" w:rsidRPr="00665AAC" w:rsidRDefault="00665AAC" w:rsidP="00990360">
      <w:pPr>
        <w:ind w:right="1671"/>
        <w:rPr>
          <w:b/>
          <w:sz w:val="28"/>
          <w:szCs w:val="28"/>
        </w:rPr>
      </w:pPr>
    </w:p>
    <w:p w:rsidR="00665AAC" w:rsidRDefault="00665AAC" w:rsidP="00990360">
      <w:pPr>
        <w:ind w:right="1671"/>
      </w:pPr>
    </w:p>
    <w:p w:rsidR="00016009" w:rsidRDefault="00016009" w:rsidP="00990360">
      <w:pPr>
        <w:ind w:right="1671"/>
      </w:pPr>
      <w:r>
        <w:t>Kunnande som poängteras under hela examensdelen</w:t>
      </w:r>
    </w:p>
    <w:p w:rsidR="00016009" w:rsidRDefault="00016009" w:rsidP="00990360">
      <w:pPr>
        <w:pStyle w:val="Liststycke"/>
        <w:numPr>
          <w:ilvl w:val="0"/>
          <w:numId w:val="8"/>
        </w:numPr>
        <w:ind w:right="1671"/>
      </w:pPr>
      <w:r>
        <w:t>God arbetsmoral och etik</w:t>
      </w:r>
    </w:p>
    <w:p w:rsidR="00016009" w:rsidRDefault="00016009" w:rsidP="00990360">
      <w:pPr>
        <w:pStyle w:val="Liststycke"/>
        <w:numPr>
          <w:ilvl w:val="0"/>
          <w:numId w:val="8"/>
        </w:numPr>
        <w:ind w:right="1671"/>
      </w:pPr>
      <w:r>
        <w:t>Hållbar verksamhet</w:t>
      </w:r>
    </w:p>
    <w:p w:rsidR="00016009" w:rsidRDefault="00016009" w:rsidP="00990360">
      <w:pPr>
        <w:pStyle w:val="Liststycke"/>
        <w:numPr>
          <w:ilvl w:val="0"/>
          <w:numId w:val="8"/>
        </w:numPr>
        <w:ind w:right="1671"/>
      </w:pPr>
      <w:r>
        <w:t>Flexibilitet och samarbete</w:t>
      </w:r>
    </w:p>
    <w:p w:rsidR="00016009" w:rsidRDefault="00016009" w:rsidP="00990360">
      <w:pPr>
        <w:pStyle w:val="Liststycke"/>
        <w:numPr>
          <w:ilvl w:val="0"/>
          <w:numId w:val="8"/>
        </w:numPr>
        <w:ind w:right="1671"/>
      </w:pPr>
      <w:r>
        <w:t>Upprätthållande av arbetsförmågan</w:t>
      </w:r>
    </w:p>
    <w:p w:rsidR="00016009" w:rsidRDefault="00016009" w:rsidP="00990360">
      <w:pPr>
        <w:ind w:right="1671"/>
      </w:pPr>
    </w:p>
    <w:p w:rsidR="009F4996" w:rsidRDefault="009F4996" w:rsidP="00990360">
      <w:pPr>
        <w:spacing w:after="160" w:line="259" w:lineRule="auto"/>
        <w:ind w:right="1671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016009" w:rsidRPr="009F4996" w:rsidRDefault="00016009" w:rsidP="00990360">
      <w:pPr>
        <w:spacing w:after="150"/>
        <w:ind w:right="1671"/>
        <w:rPr>
          <w:rFonts w:cs="Times New Roman"/>
          <w:b/>
          <w:sz w:val="28"/>
          <w:szCs w:val="28"/>
        </w:rPr>
      </w:pPr>
      <w:r w:rsidRPr="009F4996">
        <w:rPr>
          <w:rFonts w:cs="Times New Roman"/>
          <w:b/>
          <w:sz w:val="28"/>
          <w:szCs w:val="28"/>
        </w:rPr>
        <w:lastRenderedPageBreak/>
        <w:t>Delmålens innehåll och krav:</w:t>
      </w:r>
    </w:p>
    <w:p w:rsidR="00C82181" w:rsidRPr="0056346D" w:rsidRDefault="005826A5" w:rsidP="00990360">
      <w:pPr>
        <w:ind w:right="1671"/>
        <w:rPr>
          <w:b/>
          <w:sz w:val="32"/>
        </w:rPr>
      </w:pPr>
      <w:r w:rsidRPr="0056346D">
        <w:rPr>
          <w:b/>
          <w:sz w:val="32"/>
        </w:rPr>
        <w:t>Yrkesutbildningens olika former</w:t>
      </w:r>
      <w:r w:rsidR="005A0495">
        <w:rPr>
          <w:b/>
          <w:sz w:val="32"/>
        </w:rPr>
        <w:t xml:space="preserve"> (1 kp)</w:t>
      </w:r>
    </w:p>
    <w:p w:rsidR="0056346D" w:rsidRDefault="0056346D" w:rsidP="00990360">
      <w:pPr>
        <w:ind w:right="1671"/>
        <w:rPr>
          <w:b/>
        </w:rPr>
      </w:pPr>
      <w:r>
        <w:rPr>
          <w:b/>
        </w:rPr>
        <w:t>Ålands Landskapsregering, utbildningsavdelningen</w:t>
      </w:r>
    </w:p>
    <w:p w:rsidR="0056346D" w:rsidRDefault="0056346D" w:rsidP="00990360">
      <w:pPr>
        <w:ind w:right="1671"/>
        <w:rPr>
          <w:b/>
        </w:rPr>
      </w:pPr>
      <w:r>
        <w:rPr>
          <w:b/>
        </w:rPr>
        <w:t xml:space="preserve">Ålands Yrkesgymnasium, </w:t>
      </w:r>
      <w:r>
        <w:rPr>
          <w:b/>
        </w:rPr>
        <w:br/>
        <w:t>Lärling</w:t>
      </w:r>
    </w:p>
    <w:p w:rsidR="00C82181" w:rsidRDefault="00C82181" w:rsidP="00990360">
      <w:pPr>
        <w:ind w:right="1671"/>
      </w:pPr>
    </w:p>
    <w:p w:rsidR="00C82181" w:rsidRDefault="00C82181" w:rsidP="00990360">
      <w:pPr>
        <w:spacing w:after="150"/>
        <w:ind w:right="1671"/>
        <w:rPr>
          <w:rFonts w:cs="Times New Roman"/>
          <w:b/>
          <w:sz w:val="28"/>
          <w:szCs w:val="28"/>
        </w:rPr>
      </w:pPr>
      <w:r w:rsidRPr="009F4996">
        <w:rPr>
          <w:rFonts w:cs="Times New Roman"/>
          <w:b/>
          <w:sz w:val="28"/>
          <w:szCs w:val="28"/>
        </w:rPr>
        <w:t>Material:</w:t>
      </w:r>
    </w:p>
    <w:p w:rsidR="0056346D" w:rsidRDefault="00DB794B" w:rsidP="00990360">
      <w:pPr>
        <w:spacing w:after="150"/>
        <w:ind w:right="1671"/>
        <w:rPr>
          <w:rFonts w:cs="Times New Roman"/>
          <w:b/>
          <w:sz w:val="28"/>
          <w:szCs w:val="28"/>
        </w:rPr>
      </w:pPr>
      <w:hyperlink r:id="rId8" w:history="1">
        <w:r w:rsidR="0056346D" w:rsidRPr="00FF47C2">
          <w:rPr>
            <w:rStyle w:val="Hyperlnk"/>
            <w:rFonts w:cs="Times New Roman"/>
            <w:b/>
            <w:sz w:val="28"/>
            <w:szCs w:val="28"/>
          </w:rPr>
          <w:t>www.regeringen.ax</w:t>
        </w:r>
      </w:hyperlink>
    </w:p>
    <w:p w:rsidR="0056346D" w:rsidRDefault="00DB794B" w:rsidP="00990360">
      <w:pPr>
        <w:spacing w:after="150"/>
        <w:ind w:right="1671"/>
        <w:rPr>
          <w:rFonts w:cs="Times New Roman"/>
          <w:b/>
          <w:sz w:val="28"/>
          <w:szCs w:val="28"/>
        </w:rPr>
      </w:pPr>
      <w:hyperlink r:id="rId9" w:history="1">
        <w:r w:rsidR="0056346D" w:rsidRPr="00FF47C2">
          <w:rPr>
            <w:rStyle w:val="Hyperlnk"/>
            <w:rFonts w:cs="Times New Roman"/>
            <w:b/>
            <w:sz w:val="28"/>
            <w:szCs w:val="28"/>
          </w:rPr>
          <w:t>www.ams.ax</w:t>
        </w:r>
      </w:hyperlink>
    </w:p>
    <w:p w:rsidR="0056346D" w:rsidRDefault="00DB794B" w:rsidP="00990360">
      <w:pPr>
        <w:spacing w:after="150"/>
        <w:ind w:right="1671"/>
        <w:rPr>
          <w:rStyle w:val="Hyperlnk"/>
          <w:rFonts w:cs="Times New Roman"/>
          <w:b/>
          <w:sz w:val="28"/>
          <w:szCs w:val="28"/>
        </w:rPr>
      </w:pPr>
      <w:hyperlink r:id="rId10" w:history="1">
        <w:r w:rsidR="0056346D" w:rsidRPr="00FF47C2">
          <w:rPr>
            <w:rStyle w:val="Hyperlnk"/>
            <w:rFonts w:cs="Times New Roman"/>
            <w:b/>
            <w:sz w:val="28"/>
            <w:szCs w:val="28"/>
          </w:rPr>
          <w:t>www.alandsgymnasium.ax</w:t>
        </w:r>
      </w:hyperlink>
    </w:p>
    <w:p w:rsidR="00EF6C0F" w:rsidRDefault="00EF6C0F" w:rsidP="00990360">
      <w:pPr>
        <w:spacing w:after="150"/>
        <w:ind w:right="1671"/>
        <w:rPr>
          <w:rFonts w:cs="Times New Roman"/>
          <w:b/>
          <w:sz w:val="28"/>
          <w:szCs w:val="28"/>
        </w:rPr>
      </w:pPr>
      <w:r>
        <w:rPr>
          <w:rStyle w:val="Hyperlnk"/>
          <w:rFonts w:cs="Times New Roman"/>
          <w:b/>
          <w:sz w:val="28"/>
          <w:szCs w:val="28"/>
        </w:rPr>
        <w:t>e-grunder</w:t>
      </w:r>
    </w:p>
    <w:p w:rsidR="0056346D" w:rsidRPr="009F4996" w:rsidRDefault="0056346D" w:rsidP="00990360">
      <w:pPr>
        <w:spacing w:after="150"/>
        <w:ind w:right="1671"/>
        <w:rPr>
          <w:rFonts w:cs="Times New Roman"/>
          <w:b/>
          <w:sz w:val="28"/>
          <w:szCs w:val="28"/>
        </w:rPr>
      </w:pPr>
    </w:p>
    <w:p w:rsidR="00C82181" w:rsidRPr="00C82181" w:rsidRDefault="00C82181" w:rsidP="00990360">
      <w:pPr>
        <w:ind w:right="1671"/>
        <w:rPr>
          <w:b/>
        </w:rPr>
      </w:pPr>
    </w:p>
    <w:p w:rsidR="00C82181" w:rsidRDefault="00C82181" w:rsidP="00990360">
      <w:pPr>
        <w:ind w:right="1671"/>
      </w:pPr>
    </w:p>
    <w:p w:rsidR="00C82181" w:rsidRPr="009F4996" w:rsidRDefault="00C82181" w:rsidP="00990360">
      <w:pPr>
        <w:spacing w:after="150"/>
        <w:ind w:right="1671"/>
        <w:rPr>
          <w:rFonts w:cs="Times New Roman"/>
          <w:b/>
          <w:sz w:val="28"/>
          <w:szCs w:val="28"/>
        </w:rPr>
      </w:pPr>
      <w:r w:rsidRPr="009F4996">
        <w:rPr>
          <w:rFonts w:cs="Times New Roman"/>
          <w:b/>
          <w:sz w:val="28"/>
          <w:szCs w:val="28"/>
        </w:rPr>
        <w:t>Utrymmen:</w:t>
      </w:r>
    </w:p>
    <w:p w:rsidR="00C82181" w:rsidRDefault="0056346D" w:rsidP="00990360">
      <w:pPr>
        <w:ind w:right="1671"/>
      </w:pPr>
      <w:r>
        <w:t>Klassrum eller datasal</w:t>
      </w:r>
    </w:p>
    <w:p w:rsidR="00C82181" w:rsidRDefault="00C82181" w:rsidP="00990360">
      <w:pPr>
        <w:ind w:right="1671"/>
      </w:pPr>
    </w:p>
    <w:p w:rsidR="00C82181" w:rsidRPr="009F4996" w:rsidRDefault="00C82181" w:rsidP="00990360">
      <w:pPr>
        <w:spacing w:after="150"/>
        <w:ind w:right="1671"/>
        <w:rPr>
          <w:rFonts w:cs="Times New Roman"/>
          <w:b/>
          <w:sz w:val="28"/>
          <w:szCs w:val="28"/>
        </w:rPr>
      </w:pPr>
      <w:r w:rsidRPr="009F4996">
        <w:rPr>
          <w:rFonts w:cs="Times New Roman"/>
          <w:b/>
          <w:sz w:val="28"/>
          <w:szCs w:val="28"/>
        </w:rPr>
        <w:t>Innan yrkesprovet</w:t>
      </w:r>
    </w:p>
    <w:p w:rsidR="00C82181" w:rsidRDefault="0056346D" w:rsidP="00990360">
      <w:pPr>
        <w:ind w:right="167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Den studerande ska kunna redogöra vilka yrkesutbildningsmöjligheter det finns på Åland </w:t>
      </w:r>
      <w:r w:rsidR="00A75B24">
        <w:rPr>
          <w:rFonts w:cs="Times New Roman"/>
          <w:szCs w:val="24"/>
        </w:rPr>
        <w:t xml:space="preserve">och i omkringliggande regioner </w:t>
      </w:r>
      <w:r>
        <w:rPr>
          <w:rFonts w:cs="Times New Roman"/>
          <w:szCs w:val="24"/>
        </w:rPr>
        <w:t>och informera presumtiva studerande om dem.</w:t>
      </w:r>
    </w:p>
    <w:p w:rsidR="0056346D" w:rsidRDefault="0056346D" w:rsidP="00990360">
      <w:pPr>
        <w:ind w:right="1671"/>
        <w:rPr>
          <w:rFonts w:cs="Times New Roman"/>
          <w:szCs w:val="24"/>
        </w:rPr>
      </w:pPr>
      <w:r>
        <w:rPr>
          <w:rFonts w:cs="Times New Roman"/>
          <w:szCs w:val="24"/>
        </w:rPr>
        <w:t>Den studerande kan informera om arbetsfördelningen mellan utbildningsanordnaren och arbetsplatsen.</w:t>
      </w:r>
    </w:p>
    <w:p w:rsidR="0056346D" w:rsidRDefault="0056346D" w:rsidP="00990360">
      <w:pPr>
        <w:ind w:right="1671"/>
        <w:rPr>
          <w:rFonts w:cs="Times New Roman"/>
          <w:szCs w:val="24"/>
        </w:rPr>
      </w:pPr>
    </w:p>
    <w:p w:rsidR="004E6801" w:rsidRDefault="006E671A" w:rsidP="00990360">
      <w:pPr>
        <w:spacing w:after="160" w:line="259" w:lineRule="auto"/>
        <w:ind w:right="1671"/>
      </w:pPr>
      <w:r>
        <w:t>Bedömning (N1-B5, alla kriterier finns i slutet av dokumentet)</w:t>
      </w:r>
    </w:p>
    <w:p w:rsidR="00C82181" w:rsidRDefault="00C82181" w:rsidP="00990360">
      <w:pPr>
        <w:spacing w:after="160" w:line="259" w:lineRule="auto"/>
        <w:ind w:right="1671"/>
      </w:pPr>
      <w:r>
        <w:br w:type="page"/>
      </w:r>
    </w:p>
    <w:p w:rsidR="00C82181" w:rsidRDefault="005826A5" w:rsidP="00990360">
      <w:pPr>
        <w:spacing w:after="150"/>
        <w:ind w:right="1671"/>
        <w:rPr>
          <w:rFonts w:cs="Times New Roman"/>
          <w:b/>
          <w:sz w:val="28"/>
          <w:szCs w:val="28"/>
        </w:rPr>
      </w:pPr>
      <w:r w:rsidRPr="005826A5">
        <w:rPr>
          <w:rFonts w:cs="Times New Roman"/>
          <w:b/>
          <w:sz w:val="28"/>
          <w:szCs w:val="28"/>
        </w:rPr>
        <w:lastRenderedPageBreak/>
        <w:t>Kontaktperson mellan skola och arbetsliv</w:t>
      </w:r>
      <w:r w:rsidR="005A0495">
        <w:rPr>
          <w:rFonts w:cs="Times New Roman"/>
          <w:b/>
          <w:sz w:val="28"/>
          <w:szCs w:val="28"/>
        </w:rPr>
        <w:t xml:space="preserve"> (1 kp)</w:t>
      </w:r>
    </w:p>
    <w:p w:rsidR="007062DA" w:rsidRDefault="007062DA" w:rsidP="00990360">
      <w:pPr>
        <w:spacing w:after="150"/>
        <w:ind w:right="1671"/>
      </w:pPr>
      <w:r>
        <w:t>Personliga utvecklingsplaner och validering.</w:t>
      </w:r>
    </w:p>
    <w:p w:rsidR="007062DA" w:rsidRDefault="007062DA" w:rsidP="00990360">
      <w:pPr>
        <w:spacing w:after="150"/>
        <w:ind w:right="1671"/>
      </w:pPr>
      <w:r>
        <w:t xml:space="preserve">Arbetarskyddet och arbetsplatsens </w:t>
      </w:r>
      <w:r w:rsidR="00A75B24">
        <w:t>anvisningar</w:t>
      </w:r>
      <w:r>
        <w:t xml:space="preserve"> och praxis.</w:t>
      </w:r>
    </w:p>
    <w:p w:rsidR="007062DA" w:rsidRDefault="007062DA" w:rsidP="00990360">
      <w:pPr>
        <w:spacing w:after="150"/>
        <w:ind w:right="1671"/>
      </w:pPr>
      <w:r>
        <w:t>Stöd i processen.</w:t>
      </w:r>
    </w:p>
    <w:p w:rsidR="007062DA" w:rsidRPr="007062DA" w:rsidRDefault="007062DA" w:rsidP="00990360">
      <w:pPr>
        <w:spacing w:after="150"/>
        <w:ind w:right="1671"/>
      </w:pPr>
      <w:r>
        <w:t>Utvärdering av handledningen.</w:t>
      </w:r>
    </w:p>
    <w:p w:rsidR="005826A5" w:rsidRDefault="005826A5" w:rsidP="00990360">
      <w:pPr>
        <w:tabs>
          <w:tab w:val="left" w:pos="6096"/>
        </w:tabs>
        <w:ind w:right="1671"/>
      </w:pPr>
    </w:p>
    <w:p w:rsidR="004917FD" w:rsidRDefault="004917FD" w:rsidP="00990360">
      <w:pPr>
        <w:spacing w:after="150"/>
        <w:ind w:right="1671"/>
        <w:rPr>
          <w:rFonts w:cs="Times New Roman"/>
          <w:b/>
          <w:sz w:val="28"/>
          <w:szCs w:val="28"/>
        </w:rPr>
      </w:pPr>
      <w:r w:rsidRPr="009F4996">
        <w:rPr>
          <w:rFonts w:cs="Times New Roman"/>
          <w:b/>
          <w:sz w:val="28"/>
          <w:szCs w:val="28"/>
        </w:rPr>
        <w:t>Material:</w:t>
      </w:r>
    </w:p>
    <w:p w:rsidR="00A75B24" w:rsidRPr="00990360" w:rsidRDefault="00A75B24" w:rsidP="00990360">
      <w:pPr>
        <w:spacing w:after="150"/>
        <w:ind w:right="1671"/>
        <w:rPr>
          <w:rFonts w:cs="Times New Roman"/>
          <w:szCs w:val="28"/>
        </w:rPr>
      </w:pPr>
      <w:proofErr w:type="spellStart"/>
      <w:r w:rsidRPr="00990360">
        <w:rPr>
          <w:rFonts w:cs="Times New Roman"/>
          <w:szCs w:val="28"/>
        </w:rPr>
        <w:t>Puk</w:t>
      </w:r>
      <w:proofErr w:type="spellEnd"/>
      <w:r w:rsidRPr="00990360">
        <w:rPr>
          <w:rFonts w:cs="Times New Roman"/>
          <w:szCs w:val="28"/>
        </w:rPr>
        <w:t>,</w:t>
      </w:r>
    </w:p>
    <w:p w:rsidR="00A75B24" w:rsidRPr="00990360" w:rsidRDefault="00A75B24" w:rsidP="00990360">
      <w:pPr>
        <w:spacing w:after="150"/>
        <w:ind w:right="1671"/>
        <w:rPr>
          <w:rFonts w:cs="Times New Roman"/>
          <w:szCs w:val="28"/>
        </w:rPr>
      </w:pPr>
      <w:proofErr w:type="spellStart"/>
      <w:r w:rsidRPr="00990360">
        <w:rPr>
          <w:rFonts w:cs="Times New Roman"/>
          <w:szCs w:val="28"/>
        </w:rPr>
        <w:t>Arbetslagstifning</w:t>
      </w:r>
      <w:proofErr w:type="spellEnd"/>
      <w:r w:rsidRPr="00990360">
        <w:rPr>
          <w:rFonts w:cs="Times New Roman"/>
          <w:szCs w:val="28"/>
        </w:rPr>
        <w:t xml:space="preserve"> och arbetslivsrelationer i Finland, Arbets- och näringsministeriet</w:t>
      </w:r>
    </w:p>
    <w:p w:rsidR="00A75B24" w:rsidRPr="00990360" w:rsidRDefault="00A75B24" w:rsidP="00990360">
      <w:pPr>
        <w:spacing w:after="150"/>
        <w:ind w:right="1671"/>
        <w:rPr>
          <w:rFonts w:cs="Times New Roman"/>
          <w:szCs w:val="28"/>
        </w:rPr>
      </w:pPr>
      <w:r w:rsidRPr="00990360">
        <w:rPr>
          <w:rFonts w:cs="Times New Roman"/>
          <w:szCs w:val="28"/>
        </w:rPr>
        <w:t>Småföretagens arbetsmiljö, Regionförvaltningsverket</w:t>
      </w:r>
    </w:p>
    <w:p w:rsidR="00A75B24" w:rsidRPr="00990360" w:rsidRDefault="00A75B24" w:rsidP="00990360">
      <w:pPr>
        <w:spacing w:after="150"/>
        <w:ind w:right="1671"/>
        <w:rPr>
          <w:rFonts w:cs="Times New Roman"/>
          <w:szCs w:val="28"/>
        </w:rPr>
      </w:pPr>
      <w:r w:rsidRPr="00990360">
        <w:rPr>
          <w:rFonts w:cs="Times New Roman"/>
          <w:szCs w:val="28"/>
        </w:rPr>
        <w:t xml:space="preserve">En sund och säker </w:t>
      </w:r>
      <w:r w:rsidR="00EF6C0F" w:rsidRPr="00990360">
        <w:rPr>
          <w:rFonts w:cs="Times New Roman"/>
          <w:szCs w:val="28"/>
        </w:rPr>
        <w:t>arbetsmiljö</w:t>
      </w:r>
      <w:r w:rsidRPr="00990360">
        <w:rPr>
          <w:rFonts w:cs="Times New Roman"/>
          <w:szCs w:val="28"/>
        </w:rPr>
        <w:t xml:space="preserve"> genom hela arbetslivet, Europeiska arbetsmiljöbyrån</w:t>
      </w:r>
    </w:p>
    <w:p w:rsidR="00A75B24" w:rsidRPr="00990360" w:rsidRDefault="00A75B24" w:rsidP="00990360">
      <w:pPr>
        <w:spacing w:after="150"/>
        <w:ind w:right="1671"/>
        <w:rPr>
          <w:rFonts w:cs="Times New Roman"/>
          <w:szCs w:val="28"/>
        </w:rPr>
      </w:pPr>
      <w:r w:rsidRPr="00990360">
        <w:rPr>
          <w:rFonts w:cs="Times New Roman"/>
          <w:szCs w:val="28"/>
        </w:rPr>
        <w:t>Arbetarskyddet i Finland, Social- och hälsovårdsministeriet</w:t>
      </w:r>
    </w:p>
    <w:p w:rsidR="009F4996" w:rsidRDefault="009F4996" w:rsidP="00990360">
      <w:pPr>
        <w:tabs>
          <w:tab w:val="left" w:pos="6096"/>
        </w:tabs>
        <w:ind w:right="1671"/>
      </w:pPr>
    </w:p>
    <w:p w:rsidR="009F4996" w:rsidRPr="009F4996" w:rsidRDefault="009F4996" w:rsidP="00990360">
      <w:pPr>
        <w:spacing w:after="150"/>
        <w:ind w:right="1671"/>
        <w:rPr>
          <w:rFonts w:cs="Times New Roman"/>
          <w:b/>
          <w:sz w:val="28"/>
          <w:szCs w:val="28"/>
        </w:rPr>
      </w:pPr>
      <w:r w:rsidRPr="009F4996">
        <w:rPr>
          <w:rFonts w:cs="Times New Roman"/>
          <w:b/>
          <w:sz w:val="28"/>
          <w:szCs w:val="28"/>
        </w:rPr>
        <w:t>Utrymmen:</w:t>
      </w:r>
    </w:p>
    <w:p w:rsidR="009F4996" w:rsidRDefault="009F4996" w:rsidP="00990360">
      <w:pPr>
        <w:tabs>
          <w:tab w:val="left" w:pos="6096"/>
        </w:tabs>
        <w:ind w:right="1671"/>
      </w:pPr>
      <w:r>
        <w:t>Klassrum förutsatt att gruppen har egna datorer</w:t>
      </w:r>
    </w:p>
    <w:p w:rsidR="009F4996" w:rsidRDefault="009F4996" w:rsidP="00990360">
      <w:pPr>
        <w:tabs>
          <w:tab w:val="left" w:pos="6096"/>
        </w:tabs>
        <w:ind w:right="1671"/>
      </w:pPr>
    </w:p>
    <w:p w:rsidR="009F4996" w:rsidRDefault="009F4996" w:rsidP="00990360">
      <w:pPr>
        <w:spacing w:after="150"/>
        <w:ind w:right="1671"/>
        <w:rPr>
          <w:rFonts w:cs="Times New Roman"/>
          <w:b/>
          <w:sz w:val="28"/>
          <w:szCs w:val="28"/>
        </w:rPr>
      </w:pPr>
      <w:r w:rsidRPr="009F4996">
        <w:rPr>
          <w:rFonts w:cs="Times New Roman"/>
          <w:b/>
          <w:sz w:val="28"/>
          <w:szCs w:val="28"/>
        </w:rPr>
        <w:t>Innan yrkesprovet</w:t>
      </w:r>
    </w:p>
    <w:p w:rsidR="00EF6C0F" w:rsidRPr="00EF6C0F" w:rsidRDefault="00EF6C0F" w:rsidP="00990360">
      <w:pPr>
        <w:spacing w:after="150"/>
        <w:ind w:right="1671"/>
      </w:pPr>
      <w:r w:rsidRPr="00EF6C0F">
        <w:t>Godkänd närvaro</w:t>
      </w:r>
    </w:p>
    <w:p w:rsidR="00B96DDF" w:rsidRDefault="00B96DDF" w:rsidP="00990360">
      <w:pPr>
        <w:spacing w:after="160" w:line="259" w:lineRule="auto"/>
        <w:ind w:right="1671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0A0B64" w:rsidRDefault="005826A5" w:rsidP="00990360">
      <w:pPr>
        <w:tabs>
          <w:tab w:val="left" w:pos="6096"/>
        </w:tabs>
        <w:ind w:right="1671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Arbetsplatshandledning</w:t>
      </w:r>
      <w:r w:rsidR="005A0495">
        <w:rPr>
          <w:rFonts w:cs="Times New Roman"/>
          <w:b/>
          <w:sz w:val="28"/>
          <w:szCs w:val="28"/>
        </w:rPr>
        <w:t xml:space="preserve"> (2 kp)</w:t>
      </w:r>
    </w:p>
    <w:p w:rsidR="008665FD" w:rsidRDefault="008665FD" w:rsidP="00990360">
      <w:pPr>
        <w:tabs>
          <w:tab w:val="left" w:pos="6096"/>
        </w:tabs>
        <w:ind w:right="1671"/>
        <w:rPr>
          <w:rFonts w:cs="Times New Roman"/>
          <w:b/>
          <w:sz w:val="28"/>
          <w:szCs w:val="28"/>
        </w:rPr>
      </w:pPr>
    </w:p>
    <w:p w:rsidR="008665FD" w:rsidRPr="008665FD" w:rsidRDefault="008665FD" w:rsidP="00990360">
      <w:pPr>
        <w:tabs>
          <w:tab w:val="left" w:pos="6096"/>
        </w:tabs>
        <w:ind w:right="1671"/>
        <w:rPr>
          <w:rFonts w:cs="Times New Roman"/>
          <w:sz w:val="22"/>
          <w:szCs w:val="28"/>
        </w:rPr>
      </w:pPr>
      <w:r w:rsidRPr="008665FD">
        <w:rPr>
          <w:rFonts w:cs="Times New Roman"/>
          <w:sz w:val="22"/>
          <w:szCs w:val="28"/>
        </w:rPr>
        <w:t>https://ohjaan.fi/sv/vi-planerar/larande-pa-arbetsplatsen-ar-ett-samarbete/</w:t>
      </w:r>
    </w:p>
    <w:p w:rsidR="005826A5" w:rsidRDefault="005826A5" w:rsidP="00990360">
      <w:pPr>
        <w:tabs>
          <w:tab w:val="left" w:pos="6096"/>
        </w:tabs>
        <w:ind w:right="1671"/>
        <w:rPr>
          <w:b/>
          <w:sz w:val="28"/>
          <w:szCs w:val="28"/>
        </w:rPr>
      </w:pPr>
    </w:p>
    <w:p w:rsidR="007D3715" w:rsidRDefault="007062DA" w:rsidP="00990360">
      <w:pPr>
        <w:tabs>
          <w:tab w:val="left" w:pos="6096"/>
        </w:tabs>
        <w:ind w:right="1671"/>
      </w:pPr>
      <w:r>
        <w:t>Nätkurs för arbetsplatshandledare.</w:t>
      </w:r>
    </w:p>
    <w:p w:rsidR="00EF6C0F" w:rsidRDefault="00EF6C0F" w:rsidP="00990360">
      <w:pPr>
        <w:tabs>
          <w:tab w:val="left" w:pos="6096"/>
        </w:tabs>
        <w:ind w:right="1671"/>
      </w:pPr>
      <w:r w:rsidRPr="00EF6C0F">
        <w:t>https://blogit.gradia.fi/parasta_osaamista/valkommen-till-webbutbildningen-handledning-i-larande-i-arbetslivet/</w:t>
      </w:r>
    </w:p>
    <w:p w:rsidR="007062DA" w:rsidRDefault="007062DA" w:rsidP="00990360">
      <w:pPr>
        <w:tabs>
          <w:tab w:val="left" w:pos="6096"/>
        </w:tabs>
        <w:ind w:right="1671"/>
      </w:pPr>
    </w:p>
    <w:p w:rsidR="00EF6C0F" w:rsidRDefault="00EF6C0F" w:rsidP="00990360">
      <w:pPr>
        <w:tabs>
          <w:tab w:val="left" w:pos="6096"/>
        </w:tabs>
        <w:ind w:right="1671"/>
      </w:pPr>
      <w:r>
        <w:t>Arbetslivets checklista:</w:t>
      </w:r>
    </w:p>
    <w:p w:rsidR="00EF6C0F" w:rsidRDefault="00DB794B" w:rsidP="00990360">
      <w:pPr>
        <w:tabs>
          <w:tab w:val="left" w:pos="6096"/>
        </w:tabs>
        <w:ind w:right="1671"/>
      </w:pPr>
      <w:hyperlink r:id="rId11" w:history="1">
        <w:r w:rsidR="00EF6C0F" w:rsidRPr="00426183">
          <w:rPr>
            <w:rStyle w:val="Hyperlnk"/>
          </w:rPr>
          <w:t>https://blogit.gradia.fi/parasta_osaamista/wp-content/uploads/sites/20/2019/12/Muistilista_ohjaajalle_SE_NETTI.pdf</w:t>
        </w:r>
      </w:hyperlink>
    </w:p>
    <w:p w:rsidR="00EF6C0F" w:rsidRDefault="00EF6C0F" w:rsidP="00990360">
      <w:pPr>
        <w:tabs>
          <w:tab w:val="left" w:pos="6096"/>
        </w:tabs>
        <w:ind w:right="1671"/>
      </w:pPr>
    </w:p>
    <w:p w:rsidR="00EF6C0F" w:rsidRDefault="00EF6C0F" w:rsidP="00990360">
      <w:pPr>
        <w:tabs>
          <w:tab w:val="left" w:pos="6096"/>
        </w:tabs>
        <w:ind w:right="1671"/>
      </w:pPr>
      <w:r>
        <w:t>Lärarens checklista:</w:t>
      </w:r>
    </w:p>
    <w:p w:rsidR="00EF6C0F" w:rsidRDefault="00DB794B" w:rsidP="00990360">
      <w:pPr>
        <w:tabs>
          <w:tab w:val="left" w:pos="6096"/>
        </w:tabs>
        <w:ind w:right="1671"/>
      </w:pPr>
      <w:hyperlink r:id="rId12" w:history="1">
        <w:r w:rsidR="00EF6C0F" w:rsidRPr="00426183">
          <w:rPr>
            <w:rStyle w:val="Hyperlnk"/>
          </w:rPr>
          <w:t>https://blogit.gradia.fi/parasta_osaamista/wp-content/uploads/sites/20/2019/12/Muistilista_opettajille_SE_NETTI.pdf</w:t>
        </w:r>
      </w:hyperlink>
    </w:p>
    <w:p w:rsidR="00EF6C0F" w:rsidRDefault="00EF6C0F" w:rsidP="00990360">
      <w:pPr>
        <w:tabs>
          <w:tab w:val="left" w:pos="6096"/>
        </w:tabs>
        <w:ind w:right="1671"/>
      </w:pPr>
    </w:p>
    <w:p w:rsidR="00EF6C0F" w:rsidRDefault="00EF6C0F" w:rsidP="00990360">
      <w:pPr>
        <w:tabs>
          <w:tab w:val="left" w:pos="6096"/>
        </w:tabs>
        <w:ind w:right="1671"/>
      </w:pPr>
      <w:r>
        <w:t>Den studerandes checklista:</w:t>
      </w:r>
    </w:p>
    <w:p w:rsidR="00EF6C0F" w:rsidRDefault="00DB794B" w:rsidP="00990360">
      <w:pPr>
        <w:tabs>
          <w:tab w:val="left" w:pos="6096"/>
        </w:tabs>
        <w:ind w:right="1671"/>
      </w:pPr>
      <w:hyperlink r:id="rId13" w:history="1">
        <w:r w:rsidR="00EF6C0F" w:rsidRPr="00426183">
          <w:rPr>
            <w:rStyle w:val="Hyperlnk"/>
          </w:rPr>
          <w:t>https://blogit.gradia.fi/parasta_osaamista/wp-content/uploads/sites/20/2019/12/Muistilista_opiskelijalle_SE_NETTI.pdf</w:t>
        </w:r>
      </w:hyperlink>
    </w:p>
    <w:p w:rsidR="00EF6C0F" w:rsidRDefault="00EF6C0F" w:rsidP="00990360">
      <w:pPr>
        <w:tabs>
          <w:tab w:val="left" w:pos="6096"/>
        </w:tabs>
        <w:ind w:right="1671"/>
      </w:pPr>
    </w:p>
    <w:p w:rsidR="00EF6C0F" w:rsidRDefault="00EF6C0F" w:rsidP="00990360">
      <w:pPr>
        <w:tabs>
          <w:tab w:val="left" w:pos="6096"/>
        </w:tabs>
        <w:ind w:right="1671"/>
      </w:pPr>
      <w:r>
        <w:t>Guider för bedömning av kunnande:</w:t>
      </w:r>
    </w:p>
    <w:p w:rsidR="00EF6C0F" w:rsidRDefault="00DB794B" w:rsidP="00990360">
      <w:pPr>
        <w:tabs>
          <w:tab w:val="left" w:pos="6096"/>
        </w:tabs>
        <w:ind w:right="1671"/>
      </w:pPr>
      <w:hyperlink r:id="rId14" w:history="1">
        <w:r w:rsidR="00EF6C0F" w:rsidRPr="00426183">
          <w:rPr>
            <w:rStyle w:val="Hyperlnk"/>
          </w:rPr>
          <w:t>https://blogit.gradia.fi/parasta_osaamista/pa-svenska/guider-om-bedomning-av-kunnande/</w:t>
        </w:r>
      </w:hyperlink>
    </w:p>
    <w:p w:rsidR="00EF6C0F" w:rsidRDefault="00EF6C0F" w:rsidP="00990360">
      <w:pPr>
        <w:tabs>
          <w:tab w:val="left" w:pos="6096"/>
        </w:tabs>
        <w:ind w:right="1671"/>
      </w:pPr>
    </w:p>
    <w:p w:rsidR="00EF6C0F" w:rsidRDefault="00EF6C0F" w:rsidP="00990360">
      <w:pPr>
        <w:tabs>
          <w:tab w:val="left" w:pos="6096"/>
        </w:tabs>
        <w:ind w:right="1671"/>
      </w:pPr>
    </w:p>
    <w:p w:rsidR="00EF6C0F" w:rsidRPr="007D3715" w:rsidRDefault="00EF6C0F" w:rsidP="00990360">
      <w:pPr>
        <w:tabs>
          <w:tab w:val="left" w:pos="6096"/>
        </w:tabs>
        <w:ind w:right="1671"/>
      </w:pPr>
    </w:p>
    <w:p w:rsidR="009F4996" w:rsidRDefault="009F4996" w:rsidP="00990360">
      <w:pPr>
        <w:tabs>
          <w:tab w:val="left" w:pos="6096"/>
        </w:tabs>
        <w:ind w:right="1671"/>
        <w:rPr>
          <w:b/>
          <w:sz w:val="28"/>
          <w:szCs w:val="28"/>
        </w:rPr>
      </w:pPr>
      <w:r>
        <w:rPr>
          <w:b/>
          <w:sz w:val="28"/>
          <w:szCs w:val="28"/>
        </w:rPr>
        <w:t>Utrymmen</w:t>
      </w:r>
    </w:p>
    <w:p w:rsidR="007D3715" w:rsidRDefault="007D3715" w:rsidP="00990360">
      <w:pPr>
        <w:tabs>
          <w:tab w:val="left" w:pos="6096"/>
        </w:tabs>
        <w:ind w:right="1671"/>
      </w:pPr>
      <w:r>
        <w:t>Klassrum förutsatt att gruppen har egna datorer</w:t>
      </w:r>
    </w:p>
    <w:p w:rsidR="009F4996" w:rsidRPr="002C0D55" w:rsidRDefault="009F4996" w:rsidP="00990360">
      <w:pPr>
        <w:tabs>
          <w:tab w:val="left" w:pos="6096"/>
        </w:tabs>
        <w:ind w:right="1671"/>
        <w:rPr>
          <w:b/>
          <w:sz w:val="20"/>
          <w:szCs w:val="20"/>
        </w:rPr>
      </w:pPr>
    </w:p>
    <w:p w:rsidR="009F4996" w:rsidRDefault="009F4996" w:rsidP="00990360">
      <w:pPr>
        <w:tabs>
          <w:tab w:val="left" w:pos="6096"/>
        </w:tabs>
        <w:ind w:right="1671"/>
        <w:rPr>
          <w:b/>
          <w:sz w:val="28"/>
          <w:szCs w:val="28"/>
        </w:rPr>
      </w:pPr>
      <w:r>
        <w:rPr>
          <w:b/>
          <w:sz w:val="28"/>
          <w:szCs w:val="28"/>
        </w:rPr>
        <w:t>Innan yrkesprovet</w:t>
      </w:r>
    </w:p>
    <w:p w:rsidR="00B67984" w:rsidRDefault="00B67984" w:rsidP="00990360">
      <w:pPr>
        <w:ind w:right="1671"/>
        <w:rPr>
          <w:rFonts w:cs="Times New Roman"/>
          <w:szCs w:val="24"/>
        </w:rPr>
      </w:pPr>
    </w:p>
    <w:p w:rsidR="00EF6C0F" w:rsidRPr="00EF6C0F" w:rsidRDefault="00EF6C0F" w:rsidP="00EF6C0F">
      <w:pPr>
        <w:spacing w:after="150"/>
        <w:ind w:right="1671"/>
      </w:pPr>
      <w:r w:rsidRPr="00EF6C0F">
        <w:t>Godkänd närvaro</w:t>
      </w:r>
    </w:p>
    <w:p w:rsidR="005826A5" w:rsidRDefault="005826A5" w:rsidP="00990360">
      <w:pPr>
        <w:spacing w:after="160" w:line="259" w:lineRule="auto"/>
        <w:ind w:right="1671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A0B64" w:rsidRDefault="005826A5" w:rsidP="00990360">
      <w:pPr>
        <w:tabs>
          <w:tab w:val="left" w:pos="6096"/>
        </w:tabs>
        <w:ind w:right="1671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Att ge feedback till studerande med beaktande av olikheter</w:t>
      </w:r>
      <w:r w:rsidR="005A0495">
        <w:rPr>
          <w:rFonts w:cs="Times New Roman"/>
          <w:b/>
          <w:sz w:val="28"/>
          <w:szCs w:val="28"/>
        </w:rPr>
        <w:t xml:space="preserve"> (1 kp)</w:t>
      </w:r>
    </w:p>
    <w:p w:rsidR="007062DA" w:rsidRDefault="007062DA" w:rsidP="00990360">
      <w:pPr>
        <w:tabs>
          <w:tab w:val="left" w:pos="6096"/>
        </w:tabs>
        <w:ind w:right="1671"/>
        <w:rPr>
          <w:rFonts w:cs="Times New Roman"/>
          <w:b/>
          <w:sz w:val="28"/>
          <w:szCs w:val="28"/>
        </w:rPr>
      </w:pPr>
    </w:p>
    <w:p w:rsidR="007062DA" w:rsidRPr="007062DA" w:rsidRDefault="007062DA" w:rsidP="00990360">
      <w:pPr>
        <w:tabs>
          <w:tab w:val="left" w:pos="6096"/>
        </w:tabs>
        <w:ind w:right="1671"/>
      </w:pPr>
      <w:r w:rsidRPr="007062DA">
        <w:t>Funktionsvariationer</w:t>
      </w:r>
    </w:p>
    <w:p w:rsidR="007062DA" w:rsidRPr="007062DA" w:rsidRDefault="007062DA" w:rsidP="00990360">
      <w:pPr>
        <w:tabs>
          <w:tab w:val="left" w:pos="6096"/>
        </w:tabs>
        <w:ind w:right="1671"/>
      </w:pPr>
      <w:r w:rsidRPr="007062DA">
        <w:t>Kulturer</w:t>
      </w:r>
      <w:r w:rsidR="00A75B24">
        <w:t xml:space="preserve"> </w:t>
      </w:r>
    </w:p>
    <w:p w:rsidR="007062DA" w:rsidRDefault="007062DA" w:rsidP="00990360">
      <w:pPr>
        <w:tabs>
          <w:tab w:val="left" w:pos="6096"/>
        </w:tabs>
        <w:ind w:right="1671"/>
      </w:pPr>
      <w:r w:rsidRPr="007062DA">
        <w:t>Språk</w:t>
      </w:r>
    </w:p>
    <w:p w:rsidR="00A75B24" w:rsidRPr="007062DA" w:rsidRDefault="00A75B24" w:rsidP="00990360">
      <w:pPr>
        <w:tabs>
          <w:tab w:val="left" w:pos="6096"/>
        </w:tabs>
        <w:ind w:right="1671"/>
      </w:pPr>
      <w:r>
        <w:t>Kommunikationsteori</w:t>
      </w:r>
    </w:p>
    <w:p w:rsidR="000A0B64" w:rsidRPr="007062DA" w:rsidRDefault="000A0B64" w:rsidP="00990360">
      <w:pPr>
        <w:ind w:right="1671"/>
      </w:pPr>
    </w:p>
    <w:p w:rsidR="009F4996" w:rsidRDefault="009F4996" w:rsidP="00990360">
      <w:pPr>
        <w:ind w:right="1671"/>
        <w:rPr>
          <w:b/>
        </w:rPr>
      </w:pPr>
      <w:r>
        <w:rPr>
          <w:b/>
        </w:rPr>
        <w:t xml:space="preserve">Material </w:t>
      </w:r>
    </w:p>
    <w:p w:rsidR="003377BA" w:rsidRDefault="00DB794B" w:rsidP="00990360">
      <w:pPr>
        <w:ind w:right="1671"/>
        <w:rPr>
          <w:b/>
        </w:rPr>
      </w:pPr>
      <w:hyperlink r:id="rId15" w:history="1">
        <w:r w:rsidR="004279A7" w:rsidRPr="00426183">
          <w:rPr>
            <w:rStyle w:val="Hyperlnk"/>
            <w:b/>
          </w:rPr>
          <w:t>https://www.ttl.fi/wp-content/uploads/2019/04/Moniosaa_opas_SVENSKA.pdf</w:t>
        </w:r>
      </w:hyperlink>
    </w:p>
    <w:p w:rsidR="004279A7" w:rsidRDefault="004279A7" w:rsidP="00990360">
      <w:pPr>
        <w:ind w:right="1671"/>
        <w:rPr>
          <w:b/>
        </w:rPr>
      </w:pPr>
    </w:p>
    <w:p w:rsidR="008016CD" w:rsidRDefault="008016CD" w:rsidP="00990360">
      <w:pPr>
        <w:ind w:right="1671"/>
        <w:rPr>
          <w:b/>
        </w:rPr>
      </w:pPr>
    </w:p>
    <w:p w:rsidR="008016CD" w:rsidRDefault="008016CD" w:rsidP="00990360">
      <w:pPr>
        <w:ind w:right="1671"/>
      </w:pPr>
      <w:r>
        <w:rPr>
          <w:b/>
        </w:rPr>
        <w:t>Utrymmen</w:t>
      </w:r>
      <w:r w:rsidR="002C0D55">
        <w:rPr>
          <w:b/>
        </w:rPr>
        <w:t xml:space="preserve">: </w:t>
      </w:r>
      <w:r w:rsidR="002C0D55" w:rsidRPr="002C0D55">
        <w:t>Egna datorer eller datasal</w:t>
      </w:r>
    </w:p>
    <w:p w:rsidR="008016CD" w:rsidRDefault="008016CD" w:rsidP="00990360">
      <w:pPr>
        <w:ind w:right="1671"/>
        <w:rPr>
          <w:b/>
        </w:rPr>
      </w:pPr>
    </w:p>
    <w:p w:rsidR="005D4174" w:rsidRDefault="005D4174" w:rsidP="00990360">
      <w:pPr>
        <w:ind w:right="1671"/>
        <w:rPr>
          <w:rFonts w:cs="Times New Roman"/>
          <w:szCs w:val="24"/>
        </w:rPr>
      </w:pPr>
    </w:p>
    <w:p w:rsidR="00324945" w:rsidRDefault="00324945" w:rsidP="00990360">
      <w:pPr>
        <w:pStyle w:val="Rubrik3"/>
        <w:shd w:val="clear" w:color="auto" w:fill="FFFFFF"/>
        <w:spacing w:before="120" w:after="150"/>
        <w:ind w:right="1671"/>
        <w:rPr>
          <w:rFonts w:ascii="Helvetica" w:hAnsi="Helvetica"/>
          <w:color w:val="1F1F1F"/>
          <w:sz w:val="27"/>
        </w:rPr>
      </w:pPr>
      <w:r>
        <w:rPr>
          <w:rStyle w:val="ng-scope"/>
          <w:rFonts w:ascii="Helvetica" w:hAnsi="Helvetica"/>
          <w:b/>
          <w:bCs/>
          <w:color w:val="1F1F1F"/>
        </w:rPr>
        <w:t>Bedömning</w:t>
      </w:r>
    </w:p>
    <w:p w:rsidR="00324945" w:rsidRDefault="00324945" w:rsidP="00990360">
      <w:pPr>
        <w:pStyle w:val="Rubrik3"/>
        <w:shd w:val="clear" w:color="auto" w:fill="FFFFFF"/>
        <w:spacing w:before="450" w:after="150"/>
        <w:ind w:right="1671"/>
        <w:rPr>
          <w:rFonts w:ascii="Helvetica" w:hAnsi="Helvetica"/>
          <w:color w:val="1F1F1F"/>
          <w:sz w:val="27"/>
        </w:rPr>
      </w:pPr>
      <w:r>
        <w:rPr>
          <w:rFonts w:ascii="Helvetica" w:hAnsi="Helvetica"/>
          <w:b/>
          <w:bCs/>
          <w:color w:val="1F1F1F"/>
        </w:rPr>
        <w:t>Sätt att påvisa yrkesskickligheten</w:t>
      </w:r>
    </w:p>
    <w:p w:rsidR="00DB794B" w:rsidRPr="00DB794B" w:rsidRDefault="00DB794B" w:rsidP="00DB794B">
      <w:pPr>
        <w:shd w:val="clear" w:color="auto" w:fill="FFFFFF"/>
        <w:spacing w:after="150"/>
        <w:ind w:right="1813"/>
        <w:rPr>
          <w:rFonts w:eastAsia="Times New Roman" w:cs="Times New Roman"/>
          <w:color w:val="1F1F1F"/>
          <w:szCs w:val="21"/>
          <w:lang w:eastAsia="sv-SE"/>
        </w:rPr>
      </w:pPr>
      <w:r w:rsidRPr="00DB794B">
        <w:rPr>
          <w:rFonts w:eastAsia="Times New Roman" w:cs="Times New Roman"/>
          <w:color w:val="1F1F1F"/>
          <w:szCs w:val="21"/>
          <w:lang w:eastAsia="sv-SE"/>
        </w:rPr>
        <w:t>Den studerande visar sin yrkesskicklighet i ett yrkesprov i praktiska arbetsuppgifter genom att förbereda och öva sig inför introduktions-, handlednings- och responssituationer. Till de delar som den yrkesskicklighet som krävs i examensdelen inte kan bedömas genom ett yrkesprov, kompletteras visandet av yrkesskickligheten individuellt på andra sätt.</w:t>
      </w:r>
    </w:p>
    <w:p w:rsidR="00511536" w:rsidRDefault="00511536" w:rsidP="00990360">
      <w:pPr>
        <w:pStyle w:val="Normalwebb"/>
        <w:spacing w:before="0" w:beforeAutospacing="0" w:after="150" w:afterAutospacing="0"/>
        <w:ind w:right="1671"/>
      </w:pPr>
    </w:p>
    <w:p w:rsidR="00511536" w:rsidRDefault="00511536" w:rsidP="00990360">
      <w:pPr>
        <w:spacing w:after="160" w:line="259" w:lineRule="auto"/>
        <w:ind w:right="1671"/>
        <w:rPr>
          <w:rFonts w:eastAsia="Times New Roman" w:cs="Times New Roman"/>
          <w:szCs w:val="24"/>
          <w:lang w:eastAsia="sv-SE"/>
        </w:rPr>
      </w:pPr>
      <w:r>
        <w:br w:type="page"/>
      </w:r>
      <w:bookmarkStart w:id="0" w:name="_GoBack"/>
      <w:bookmarkEnd w:id="0"/>
    </w:p>
    <w:p w:rsidR="00511536" w:rsidRPr="004C32E2" w:rsidRDefault="00511536" w:rsidP="00511536">
      <w:pPr>
        <w:pBdr>
          <w:bottom w:val="single" w:sz="6" w:space="0" w:color="CCCCCC"/>
        </w:pBdr>
        <w:shd w:val="clear" w:color="auto" w:fill="FFFFFF"/>
        <w:spacing w:after="300"/>
        <w:outlineLvl w:val="0"/>
        <w:rPr>
          <w:rFonts w:ascii="Helvetica" w:eastAsia="Times New Roman" w:hAnsi="Helvetica" w:cs="Helvetica"/>
          <w:color w:val="1F1F1F"/>
          <w:kern w:val="36"/>
          <w:sz w:val="42"/>
          <w:szCs w:val="42"/>
          <w:lang w:eastAsia="sv-SE"/>
        </w:rPr>
      </w:pPr>
      <w:r w:rsidRPr="004C32E2">
        <w:rPr>
          <w:rFonts w:ascii="Helvetica" w:eastAsia="Times New Roman" w:hAnsi="Helvetica" w:cs="Helvetica"/>
          <w:color w:val="1F1F1F"/>
          <w:kern w:val="36"/>
          <w:sz w:val="42"/>
          <w:szCs w:val="42"/>
          <w:lang w:eastAsia="sv-SE"/>
        </w:rPr>
        <w:lastRenderedPageBreak/>
        <w:t>Förberedelse för arbetsplatshandledaruppgifter, 5 kp</w:t>
      </w:r>
    </w:p>
    <w:p w:rsidR="00511536" w:rsidRPr="004C32E2" w:rsidRDefault="00511536" w:rsidP="00511536">
      <w:pPr>
        <w:shd w:val="clear" w:color="auto" w:fill="FFFFFF"/>
        <w:spacing w:before="450" w:after="150"/>
        <w:outlineLvl w:val="2"/>
        <w:rPr>
          <w:rFonts w:ascii="inherit" w:eastAsia="Times New Roman" w:hAnsi="inherit" w:cs="Helvetica"/>
          <w:color w:val="1F1F1F"/>
          <w:sz w:val="27"/>
          <w:szCs w:val="27"/>
          <w:lang w:eastAsia="sv-SE"/>
        </w:rPr>
      </w:pPr>
      <w:r w:rsidRPr="004C32E2">
        <w:rPr>
          <w:rFonts w:ascii="inherit" w:eastAsia="Times New Roman" w:hAnsi="inherit" w:cs="Helvetica"/>
          <w:color w:val="1F1F1F"/>
          <w:sz w:val="27"/>
          <w:szCs w:val="27"/>
          <w:lang w:eastAsia="sv-SE"/>
        </w:rPr>
        <w:t>Krav på yrkesskicklighet</w:t>
      </w:r>
    </w:p>
    <w:p w:rsidR="00511536" w:rsidRPr="004C32E2" w:rsidRDefault="00511536" w:rsidP="00511536">
      <w:pPr>
        <w:shd w:val="clear" w:color="auto" w:fill="FFFFFF"/>
        <w:spacing w:after="150"/>
        <w:rPr>
          <w:rFonts w:ascii="Helvetica" w:eastAsia="Times New Roman" w:hAnsi="Helvetica" w:cs="Helvetica"/>
          <w:color w:val="1F1F1F"/>
          <w:sz w:val="21"/>
          <w:szCs w:val="21"/>
          <w:lang w:eastAsia="sv-SE"/>
        </w:rPr>
      </w:pPr>
      <w:r w:rsidRPr="004C32E2">
        <w:rPr>
          <w:rFonts w:ascii="Helvetica" w:eastAsia="Times New Roman" w:hAnsi="Helvetica" w:cs="Helvetica"/>
          <w:color w:val="1F1F1F"/>
          <w:sz w:val="21"/>
          <w:szCs w:val="21"/>
          <w:lang w:eastAsia="sv-SE"/>
        </w:rPr>
        <w:t>Den studerande kan</w:t>
      </w:r>
    </w:p>
    <w:p w:rsidR="00511536" w:rsidRPr="004C32E2" w:rsidRDefault="00511536" w:rsidP="00511536">
      <w:pPr>
        <w:shd w:val="clear" w:color="auto" w:fill="FFFFFF"/>
        <w:spacing w:before="450" w:after="150"/>
        <w:outlineLvl w:val="2"/>
        <w:rPr>
          <w:rFonts w:ascii="inherit" w:eastAsia="Times New Roman" w:hAnsi="inherit" w:cs="Helvetica"/>
          <w:color w:val="1F1F1F"/>
          <w:sz w:val="27"/>
          <w:szCs w:val="27"/>
          <w:lang w:eastAsia="sv-SE"/>
        </w:rPr>
      </w:pPr>
      <w:r>
        <w:rPr>
          <w:rFonts w:ascii="inherit" w:eastAsia="Times New Roman" w:hAnsi="inherit" w:cs="Helvetica"/>
          <w:color w:val="1F1F1F"/>
          <w:sz w:val="27"/>
          <w:szCs w:val="27"/>
          <w:lang w:eastAsia="sv-SE"/>
        </w:rPr>
        <w:t xml:space="preserve"> </w:t>
      </w:r>
      <w:r w:rsidRPr="004C32E2">
        <w:rPr>
          <w:rFonts w:ascii="inherit" w:eastAsia="Times New Roman" w:hAnsi="inherit" w:cs="Helvetica"/>
          <w:color w:val="1F1F1F"/>
          <w:sz w:val="27"/>
          <w:szCs w:val="27"/>
          <w:lang w:eastAsia="sv-SE"/>
        </w:rPr>
        <w:t>Bedömning</w:t>
      </w:r>
    </w:p>
    <w:p w:rsidR="00511536" w:rsidRPr="004C32E2" w:rsidRDefault="00511536" w:rsidP="00511536">
      <w:pPr>
        <w:shd w:val="clear" w:color="auto" w:fill="0C566E"/>
        <w:spacing w:after="150"/>
        <w:outlineLvl w:val="3"/>
        <w:rPr>
          <w:rFonts w:ascii="inherit" w:eastAsia="Times New Roman" w:hAnsi="inherit" w:cs="Helvetica"/>
          <w:color w:val="FFFFFF"/>
          <w:szCs w:val="24"/>
          <w:lang w:eastAsia="sv-SE"/>
        </w:rPr>
      </w:pPr>
      <w:r w:rsidRPr="004C32E2">
        <w:rPr>
          <w:rFonts w:ascii="inherit" w:eastAsia="Times New Roman" w:hAnsi="inherit" w:cs="Helvetica"/>
          <w:color w:val="FFFFFF"/>
          <w:szCs w:val="24"/>
          <w:lang w:eastAsia="sv-SE"/>
        </w:rPr>
        <w:t>Den studerande sätter in sig i olika former för anordnande av yrkesutbildning och i yrkesinriktade examina.</w:t>
      </w:r>
    </w:p>
    <w:p w:rsidR="00511536" w:rsidRPr="004C32E2" w:rsidRDefault="00511536" w:rsidP="00511536">
      <w:pPr>
        <w:shd w:val="clear" w:color="auto" w:fill="FFFFFF"/>
        <w:spacing w:before="150" w:after="150"/>
        <w:outlineLvl w:val="4"/>
        <w:rPr>
          <w:rFonts w:ascii="inherit" w:eastAsia="Times New Roman" w:hAnsi="inherit" w:cs="Helvetica"/>
          <w:color w:val="1F1F1F"/>
          <w:sz w:val="20"/>
          <w:szCs w:val="20"/>
          <w:lang w:eastAsia="sv-SE"/>
        </w:rPr>
      </w:pPr>
      <w:r w:rsidRPr="004C32E2">
        <w:rPr>
          <w:rFonts w:ascii="inherit" w:eastAsia="Times New Roman" w:hAnsi="inherit" w:cs="Helvetica"/>
          <w:color w:val="1F1F1F"/>
          <w:sz w:val="20"/>
          <w:szCs w:val="20"/>
          <w:lang w:eastAsia="sv-SE"/>
        </w:rPr>
        <w:t>Den studerande</w:t>
      </w: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8713"/>
      </w:tblGrid>
      <w:tr w:rsidR="00511536" w:rsidRPr="004C32E2" w:rsidTr="00990360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1536" w:rsidRPr="004C32E2" w:rsidRDefault="00511536" w:rsidP="00754463">
            <w:pPr>
              <w:spacing w:after="300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Nöjaktiga 1</w:t>
            </w:r>
          </w:p>
        </w:tc>
        <w:tc>
          <w:tcPr>
            <w:tcW w:w="871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536" w:rsidRPr="004C32E2" w:rsidRDefault="00511536" w:rsidP="00511536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preciserar de mest centrala formerna för anordnande av yrkesutbildning</w:t>
            </w:r>
          </w:p>
          <w:p w:rsidR="00511536" w:rsidRPr="004C32E2" w:rsidRDefault="00511536" w:rsidP="00511536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känner till de yrkesinriktade examina inom den egna branschen</w:t>
            </w:r>
          </w:p>
          <w:p w:rsidR="00511536" w:rsidRPr="004C32E2" w:rsidRDefault="00511536" w:rsidP="00511536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tar del av examensgrunderna inom den egna branschen under handledning</w:t>
            </w:r>
          </w:p>
          <w:p w:rsidR="00511536" w:rsidRPr="004C32E2" w:rsidRDefault="00511536" w:rsidP="00511536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identifierar kopplingen mellan arbetsuppgifterna på arbetsplatsen och examensgrunderna inom den egna branschen under handledning</w:t>
            </w:r>
          </w:p>
        </w:tc>
      </w:tr>
      <w:tr w:rsidR="00511536" w:rsidRPr="004C32E2" w:rsidTr="00990360">
        <w:tc>
          <w:tcPr>
            <w:tcW w:w="163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1536" w:rsidRPr="004C32E2" w:rsidRDefault="00511536" w:rsidP="00754463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Nöjaktiga 2</w:t>
            </w:r>
          </w:p>
        </w:tc>
        <w:tc>
          <w:tcPr>
            <w:tcW w:w="871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536" w:rsidRPr="004C32E2" w:rsidRDefault="00511536" w:rsidP="00754463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511536" w:rsidRPr="004C32E2" w:rsidTr="00990360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1536" w:rsidRPr="004C32E2" w:rsidRDefault="00511536" w:rsidP="00754463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Goda 3</w:t>
            </w:r>
          </w:p>
        </w:tc>
        <w:tc>
          <w:tcPr>
            <w:tcW w:w="871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536" w:rsidRPr="004C32E2" w:rsidRDefault="00511536" w:rsidP="0051153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preciserar på ett omfattande sätt arbetsfördelningen mellan utbildningsanordnaren och arbetsplatsen i anordnandet av yrkesutbildning</w:t>
            </w:r>
          </w:p>
          <w:p w:rsidR="00511536" w:rsidRPr="004C32E2" w:rsidRDefault="00511536" w:rsidP="00511536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informerar på arbetsplatsen om anordnandet av yrkesutbildning tillsammans med utbildningsanordnaren</w:t>
            </w:r>
          </w:p>
        </w:tc>
      </w:tr>
      <w:tr w:rsidR="00511536" w:rsidRPr="004C32E2" w:rsidTr="00990360">
        <w:tc>
          <w:tcPr>
            <w:tcW w:w="163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1536" w:rsidRPr="004C32E2" w:rsidRDefault="00511536" w:rsidP="00754463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Goda 4</w:t>
            </w:r>
          </w:p>
        </w:tc>
        <w:tc>
          <w:tcPr>
            <w:tcW w:w="871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536" w:rsidRPr="004C32E2" w:rsidRDefault="00511536" w:rsidP="00754463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511536" w:rsidRPr="004C32E2" w:rsidTr="00990360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1536" w:rsidRPr="004C32E2" w:rsidRDefault="00511536" w:rsidP="00754463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Berömliga 5</w:t>
            </w:r>
          </w:p>
        </w:tc>
        <w:tc>
          <w:tcPr>
            <w:tcW w:w="871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536" w:rsidRPr="004C32E2" w:rsidRDefault="00511536" w:rsidP="00511536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skaffar på ett konsekvent sätt information om verksamheten hos de parter som medverkar i anordnandet av yrkesutbildning</w:t>
            </w:r>
          </w:p>
          <w:p w:rsidR="00511536" w:rsidRPr="004C32E2" w:rsidRDefault="00511536" w:rsidP="00511536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preciserar mångsidigt arbetsfördelningen mellan utbildningsanordnaren och arbetsplatsen i anordnandet av yrkesutbildning</w:t>
            </w:r>
          </w:p>
          <w:p w:rsidR="00511536" w:rsidRPr="004C32E2" w:rsidRDefault="00511536" w:rsidP="00511536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informerar på ett mångsidigt sätt på arbetsplatsen om anordnandet av yrkesutbildning tillsammans med utbildningsanordnaren.</w:t>
            </w:r>
          </w:p>
        </w:tc>
      </w:tr>
    </w:tbl>
    <w:p w:rsidR="00511536" w:rsidRPr="004C32E2" w:rsidRDefault="00511536" w:rsidP="00511536">
      <w:pPr>
        <w:shd w:val="clear" w:color="auto" w:fill="0C566E"/>
        <w:spacing w:after="150"/>
        <w:outlineLvl w:val="3"/>
        <w:rPr>
          <w:rFonts w:ascii="inherit" w:eastAsia="Times New Roman" w:hAnsi="inherit" w:cs="Helvetica"/>
          <w:color w:val="FFFFFF"/>
          <w:szCs w:val="24"/>
          <w:lang w:eastAsia="sv-SE"/>
        </w:rPr>
      </w:pPr>
      <w:r w:rsidRPr="004C32E2">
        <w:rPr>
          <w:rFonts w:ascii="inherit" w:eastAsia="Times New Roman" w:hAnsi="inherit" w:cs="Helvetica"/>
          <w:color w:val="FFFFFF"/>
          <w:szCs w:val="24"/>
          <w:lang w:eastAsia="sv-SE"/>
        </w:rPr>
        <w:t>Den studerande verkar som kontaktperson mellan utbildningsanordnaren och arbetsplatsen.</w:t>
      </w:r>
    </w:p>
    <w:p w:rsidR="00511536" w:rsidRPr="004C32E2" w:rsidRDefault="00511536" w:rsidP="00511536">
      <w:pPr>
        <w:shd w:val="clear" w:color="auto" w:fill="FFFFFF"/>
        <w:spacing w:before="150" w:after="150"/>
        <w:outlineLvl w:val="4"/>
        <w:rPr>
          <w:rFonts w:ascii="inherit" w:eastAsia="Times New Roman" w:hAnsi="inherit" w:cs="Helvetica"/>
          <w:color w:val="1F1F1F"/>
          <w:sz w:val="20"/>
          <w:szCs w:val="20"/>
          <w:lang w:eastAsia="sv-SE"/>
        </w:rPr>
      </w:pPr>
      <w:r w:rsidRPr="004C32E2">
        <w:rPr>
          <w:rFonts w:ascii="inherit" w:eastAsia="Times New Roman" w:hAnsi="inherit" w:cs="Helvetica"/>
          <w:color w:val="1F1F1F"/>
          <w:sz w:val="20"/>
          <w:szCs w:val="20"/>
          <w:lang w:eastAsia="sv-SE"/>
        </w:rPr>
        <w:t>Den studerande</w:t>
      </w: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8713"/>
      </w:tblGrid>
      <w:tr w:rsidR="00511536" w:rsidRPr="004C32E2" w:rsidTr="00990360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1536" w:rsidRPr="004C32E2" w:rsidRDefault="00511536" w:rsidP="00754463">
            <w:pPr>
              <w:spacing w:after="300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Nöjaktiga 1</w:t>
            </w:r>
          </w:p>
        </w:tc>
        <w:tc>
          <w:tcPr>
            <w:tcW w:w="871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536" w:rsidRPr="004C32E2" w:rsidRDefault="00511536" w:rsidP="00511536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kartlägger under handledning möjligheterna att genomföra utbildning på en arbetsplats och yrkesprov</w:t>
            </w:r>
          </w:p>
          <w:p w:rsidR="00511536" w:rsidRPr="004C32E2" w:rsidRDefault="00511536" w:rsidP="00511536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diskuterar under handledning i arbetsgemenskapen om utbildning som ordnas på en arbetsplats och ordnandet av yrkesprov med en annan studerande, arbetstagarna, arbetsplatshandledaren och bedömaren</w:t>
            </w:r>
          </w:p>
          <w:p w:rsidR="00511536" w:rsidRPr="004C32E2" w:rsidRDefault="00511536" w:rsidP="00511536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arbetar med olika studerande och arbetstagare</w:t>
            </w:r>
          </w:p>
        </w:tc>
      </w:tr>
      <w:tr w:rsidR="00511536" w:rsidRPr="004C32E2" w:rsidTr="00990360">
        <w:tc>
          <w:tcPr>
            <w:tcW w:w="163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1536" w:rsidRPr="004C32E2" w:rsidRDefault="00511536" w:rsidP="00754463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Nöjaktiga 2</w:t>
            </w:r>
          </w:p>
        </w:tc>
        <w:tc>
          <w:tcPr>
            <w:tcW w:w="871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536" w:rsidRPr="004C32E2" w:rsidRDefault="00511536" w:rsidP="00754463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511536" w:rsidRPr="004C32E2" w:rsidTr="00990360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1536" w:rsidRPr="004C32E2" w:rsidRDefault="00511536" w:rsidP="00754463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lastRenderedPageBreak/>
              <w:t>Goda 3</w:t>
            </w:r>
          </w:p>
        </w:tc>
        <w:tc>
          <w:tcPr>
            <w:tcW w:w="871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536" w:rsidRPr="004C32E2" w:rsidRDefault="00511536" w:rsidP="00511536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kartlägger möjligheterna att genomföra utbildning på en arbetsplats och yrkesprov</w:t>
            </w:r>
          </w:p>
          <w:p w:rsidR="00511536" w:rsidRPr="004C32E2" w:rsidRDefault="00511536" w:rsidP="00511536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diskuterar ansvarsfullt i arbetsgemenskapen om utbildning som ordnas på en arbetsplats och ordnandet av yrkesprov med en annan studerande, arbetstagarna, arbetshandledaren och bedömaren</w:t>
            </w:r>
          </w:p>
          <w:p w:rsidR="00511536" w:rsidRPr="004C32E2" w:rsidRDefault="00511536" w:rsidP="00511536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arbetar med olika studerande och arbetstagare</w:t>
            </w:r>
          </w:p>
        </w:tc>
      </w:tr>
      <w:tr w:rsidR="00511536" w:rsidRPr="004C32E2" w:rsidTr="00990360">
        <w:tc>
          <w:tcPr>
            <w:tcW w:w="163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1536" w:rsidRPr="004C32E2" w:rsidRDefault="00511536" w:rsidP="00754463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Goda 4</w:t>
            </w:r>
          </w:p>
        </w:tc>
        <w:tc>
          <w:tcPr>
            <w:tcW w:w="871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536" w:rsidRPr="004C32E2" w:rsidRDefault="00511536" w:rsidP="00754463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511536" w:rsidRPr="004C32E2" w:rsidTr="00990360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1536" w:rsidRPr="004C32E2" w:rsidRDefault="00511536" w:rsidP="00754463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Berömliga 5</w:t>
            </w:r>
          </w:p>
        </w:tc>
        <w:tc>
          <w:tcPr>
            <w:tcW w:w="871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536" w:rsidRPr="004C32E2" w:rsidRDefault="00511536" w:rsidP="00511536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kartlägger ansvarsfullt möjligheterna att genomföra utbildning på en arbetsplats och yrkesprov</w:t>
            </w:r>
          </w:p>
          <w:p w:rsidR="00511536" w:rsidRPr="004C32E2" w:rsidRDefault="00511536" w:rsidP="00511536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diskuterar självständigt och ansvarsfullt i arbetsgemenskapen om utbildning som ordnas på en arbetsplats och yrkesprov med en annan studerande, arbetstagarna, arbetshandledaren och bedömaren</w:t>
            </w:r>
          </w:p>
          <w:p w:rsidR="00511536" w:rsidRPr="004C32E2" w:rsidRDefault="00511536" w:rsidP="00511536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arbetar flexibelt med olika studerande och arbetstagare.</w:t>
            </w:r>
          </w:p>
        </w:tc>
      </w:tr>
    </w:tbl>
    <w:p w:rsidR="00511536" w:rsidRPr="004C32E2" w:rsidRDefault="00511536" w:rsidP="00511536">
      <w:pPr>
        <w:shd w:val="clear" w:color="auto" w:fill="0C566E"/>
        <w:spacing w:after="150"/>
        <w:outlineLvl w:val="3"/>
        <w:rPr>
          <w:rFonts w:ascii="inherit" w:eastAsia="Times New Roman" w:hAnsi="inherit" w:cs="Helvetica"/>
          <w:color w:val="FFFFFF"/>
          <w:szCs w:val="24"/>
          <w:lang w:eastAsia="sv-SE"/>
        </w:rPr>
      </w:pPr>
      <w:r w:rsidRPr="004C32E2">
        <w:rPr>
          <w:rFonts w:ascii="inherit" w:eastAsia="Times New Roman" w:hAnsi="inherit" w:cs="Helvetica"/>
          <w:color w:val="FFFFFF"/>
          <w:szCs w:val="24"/>
          <w:lang w:eastAsia="sv-SE"/>
        </w:rPr>
        <w:t>Den studerande handleder andra studerande i utbildning som ordnas på en arbetsplats och i övrigt förvärvande av kunnande.</w:t>
      </w:r>
    </w:p>
    <w:p w:rsidR="00511536" w:rsidRPr="004C32E2" w:rsidRDefault="00511536" w:rsidP="00511536">
      <w:pPr>
        <w:shd w:val="clear" w:color="auto" w:fill="FFFFFF"/>
        <w:spacing w:before="150" w:after="150"/>
        <w:outlineLvl w:val="4"/>
        <w:rPr>
          <w:rFonts w:ascii="inherit" w:eastAsia="Times New Roman" w:hAnsi="inherit" w:cs="Helvetica"/>
          <w:color w:val="1F1F1F"/>
          <w:sz w:val="20"/>
          <w:szCs w:val="20"/>
          <w:lang w:eastAsia="sv-SE"/>
        </w:rPr>
      </w:pPr>
      <w:r w:rsidRPr="004C32E2">
        <w:rPr>
          <w:rFonts w:ascii="inherit" w:eastAsia="Times New Roman" w:hAnsi="inherit" w:cs="Helvetica"/>
          <w:color w:val="1F1F1F"/>
          <w:sz w:val="20"/>
          <w:szCs w:val="20"/>
          <w:lang w:eastAsia="sv-SE"/>
        </w:rPr>
        <w:t>Den studerande</w:t>
      </w: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8713"/>
      </w:tblGrid>
      <w:tr w:rsidR="00511536" w:rsidRPr="004C32E2" w:rsidTr="00990360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1536" w:rsidRPr="004C32E2" w:rsidRDefault="00511536" w:rsidP="00754463">
            <w:pPr>
              <w:spacing w:after="300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Nöjaktiga 1</w:t>
            </w:r>
          </w:p>
        </w:tc>
        <w:tc>
          <w:tcPr>
            <w:tcW w:w="871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536" w:rsidRPr="004C32E2" w:rsidRDefault="00511536" w:rsidP="00511536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tar del av den studerandes personliga utvecklingsplan för kunnandet under handledning</w:t>
            </w:r>
          </w:p>
          <w:p w:rsidR="00511536" w:rsidRPr="004C32E2" w:rsidRDefault="00511536" w:rsidP="00511536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informerar om de centrala frågorna kring de studerandes arbetarskydd och arbetsplatsens anvisningar och praxis</w:t>
            </w:r>
          </w:p>
          <w:p w:rsidR="00511536" w:rsidRPr="004C32E2" w:rsidRDefault="00511536" w:rsidP="00511536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handleder den studerande att nå målen för förvärvandet av kunnandet</w:t>
            </w:r>
          </w:p>
          <w:p w:rsidR="00511536" w:rsidRPr="004C32E2" w:rsidRDefault="00511536" w:rsidP="00511536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utvärderar sin egen handledarkompetens</w:t>
            </w:r>
          </w:p>
        </w:tc>
      </w:tr>
      <w:tr w:rsidR="00511536" w:rsidRPr="004C32E2" w:rsidTr="00990360">
        <w:tc>
          <w:tcPr>
            <w:tcW w:w="163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1536" w:rsidRPr="004C32E2" w:rsidRDefault="00511536" w:rsidP="00754463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Nöjaktiga 2</w:t>
            </w:r>
          </w:p>
        </w:tc>
        <w:tc>
          <w:tcPr>
            <w:tcW w:w="871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536" w:rsidRPr="004C32E2" w:rsidRDefault="00511536" w:rsidP="00754463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511536" w:rsidRPr="004C32E2" w:rsidTr="00990360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1536" w:rsidRPr="004C32E2" w:rsidRDefault="00511536" w:rsidP="00754463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Goda 3</w:t>
            </w:r>
          </w:p>
        </w:tc>
        <w:tc>
          <w:tcPr>
            <w:tcW w:w="871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536" w:rsidRPr="004C32E2" w:rsidRDefault="00511536" w:rsidP="00511536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tar del av den studerandes personliga utvecklingsplan för kunnandet och målen och innehållet för övrigt förvärvande av kunnande</w:t>
            </w:r>
          </w:p>
          <w:p w:rsidR="00511536" w:rsidRPr="004C32E2" w:rsidRDefault="00511536" w:rsidP="00511536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introducerar den studerande i arbetarskyddet och arbetsplatsens anvisningar och praxis</w:t>
            </w:r>
          </w:p>
          <w:p w:rsidR="00511536" w:rsidRPr="004C32E2" w:rsidRDefault="00511536" w:rsidP="00511536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uppmuntrar på ett interaktivt sätt den studerande att nå målen för förvärvandet av kunnandet</w:t>
            </w:r>
          </w:p>
          <w:p w:rsidR="00511536" w:rsidRPr="004C32E2" w:rsidRDefault="00511536" w:rsidP="00511536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utvärderar sin egen handledarkompetens och preciserar sina utvecklingsbehov utifrån respons</w:t>
            </w:r>
          </w:p>
        </w:tc>
      </w:tr>
      <w:tr w:rsidR="00511536" w:rsidRPr="004C32E2" w:rsidTr="00990360">
        <w:tc>
          <w:tcPr>
            <w:tcW w:w="163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1536" w:rsidRPr="004C32E2" w:rsidRDefault="00511536" w:rsidP="00754463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Goda 4</w:t>
            </w:r>
          </w:p>
        </w:tc>
        <w:tc>
          <w:tcPr>
            <w:tcW w:w="871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536" w:rsidRPr="004C32E2" w:rsidRDefault="00511536" w:rsidP="00754463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511536" w:rsidRPr="004C32E2" w:rsidTr="00990360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1536" w:rsidRPr="004C32E2" w:rsidRDefault="00511536" w:rsidP="00754463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Berömliga 5</w:t>
            </w:r>
          </w:p>
        </w:tc>
        <w:tc>
          <w:tcPr>
            <w:tcW w:w="871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536" w:rsidRPr="004C32E2" w:rsidRDefault="00511536" w:rsidP="00511536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tar på ett omfattande sätt del av den studerandes personliga utvecklingsplan för kunnandet och målen och innehållet för övrigt förvärvande av kunnande</w:t>
            </w:r>
          </w:p>
          <w:p w:rsidR="00511536" w:rsidRPr="004C32E2" w:rsidRDefault="00511536" w:rsidP="00511536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introducerar den studerande på ett omfattande sätt i arbetarskyddet och arbetsplatsens anvisningar och praxis</w:t>
            </w:r>
          </w:p>
          <w:p w:rsidR="00511536" w:rsidRPr="004C32E2" w:rsidRDefault="00511536" w:rsidP="00511536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stärker den studerande i att nå målen för förvärvandet av kunnandet</w:t>
            </w:r>
          </w:p>
          <w:p w:rsidR="00511536" w:rsidRPr="004C32E2" w:rsidRDefault="00511536" w:rsidP="00511536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lastRenderedPageBreak/>
              <w:t>utvärderar mångsidigt sin egen handledarkompetens och utvecklar den utifrån respons.</w:t>
            </w:r>
          </w:p>
        </w:tc>
      </w:tr>
    </w:tbl>
    <w:p w:rsidR="00511536" w:rsidRPr="004C32E2" w:rsidRDefault="00511536" w:rsidP="00511536">
      <w:pPr>
        <w:shd w:val="clear" w:color="auto" w:fill="0C566E"/>
        <w:spacing w:after="150"/>
        <w:outlineLvl w:val="3"/>
        <w:rPr>
          <w:rFonts w:ascii="inherit" w:eastAsia="Times New Roman" w:hAnsi="inherit" w:cs="Helvetica"/>
          <w:color w:val="FFFFFF"/>
          <w:szCs w:val="24"/>
          <w:lang w:eastAsia="sv-SE"/>
        </w:rPr>
      </w:pPr>
      <w:r w:rsidRPr="004C32E2">
        <w:rPr>
          <w:rFonts w:ascii="inherit" w:eastAsia="Times New Roman" w:hAnsi="inherit" w:cs="Helvetica"/>
          <w:color w:val="FFFFFF"/>
          <w:szCs w:val="24"/>
          <w:lang w:eastAsia="sv-SE"/>
        </w:rPr>
        <w:lastRenderedPageBreak/>
        <w:t>Den studerande ger respons om utvecklingen av kunnandet.</w:t>
      </w:r>
    </w:p>
    <w:p w:rsidR="00511536" w:rsidRPr="004C32E2" w:rsidRDefault="00511536" w:rsidP="00511536">
      <w:pPr>
        <w:shd w:val="clear" w:color="auto" w:fill="FFFFFF"/>
        <w:spacing w:before="150" w:after="150"/>
        <w:outlineLvl w:val="4"/>
        <w:rPr>
          <w:rFonts w:ascii="inherit" w:eastAsia="Times New Roman" w:hAnsi="inherit" w:cs="Helvetica"/>
          <w:color w:val="1F1F1F"/>
          <w:sz w:val="20"/>
          <w:szCs w:val="20"/>
          <w:lang w:eastAsia="sv-SE"/>
        </w:rPr>
      </w:pPr>
      <w:r w:rsidRPr="004C32E2">
        <w:rPr>
          <w:rFonts w:ascii="inherit" w:eastAsia="Times New Roman" w:hAnsi="inherit" w:cs="Helvetica"/>
          <w:color w:val="1F1F1F"/>
          <w:sz w:val="20"/>
          <w:szCs w:val="20"/>
          <w:lang w:eastAsia="sv-SE"/>
        </w:rPr>
        <w:t>Den studerande</w:t>
      </w:r>
    </w:p>
    <w:tbl>
      <w:tblPr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8571"/>
      </w:tblGrid>
      <w:tr w:rsidR="00511536" w:rsidRPr="004C32E2" w:rsidTr="00990360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1536" w:rsidRPr="004C32E2" w:rsidRDefault="00511536" w:rsidP="00754463">
            <w:pPr>
              <w:spacing w:after="300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Nöjaktiga 1</w:t>
            </w:r>
          </w:p>
        </w:tc>
        <w:tc>
          <w:tcPr>
            <w:tcW w:w="857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536" w:rsidRPr="004C32E2" w:rsidRDefault="00511536" w:rsidP="00511536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diskuterar utvecklingen av kunnandet med den studerande</w:t>
            </w:r>
          </w:p>
          <w:p w:rsidR="00511536" w:rsidRPr="004C32E2" w:rsidRDefault="00511536" w:rsidP="00511536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jämför under handledning det kunnande som den studerande förvärvat med de fastställda målen</w:t>
            </w:r>
          </w:p>
          <w:p w:rsidR="00511536" w:rsidRPr="004C32E2" w:rsidRDefault="00511536" w:rsidP="00511536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 xml:space="preserve">ger den studerande </w:t>
            </w:r>
            <w:proofErr w:type="gramStart"/>
            <w:r w:rsidRPr="004C32E2">
              <w:rPr>
                <w:rFonts w:eastAsia="Times New Roman" w:cs="Times New Roman"/>
                <w:szCs w:val="24"/>
                <w:lang w:eastAsia="sv-SE"/>
              </w:rPr>
              <w:t>respons</w:t>
            </w:r>
            <w:proofErr w:type="gramEnd"/>
            <w:r w:rsidRPr="004C32E2">
              <w:rPr>
                <w:rFonts w:eastAsia="Times New Roman" w:cs="Times New Roman"/>
                <w:szCs w:val="24"/>
                <w:lang w:eastAsia="sv-SE"/>
              </w:rPr>
              <w:t xml:space="preserve"> om utvecklingen av kunnandet</w:t>
            </w:r>
          </w:p>
          <w:p w:rsidR="00511536" w:rsidRPr="004C32E2" w:rsidRDefault="00511536" w:rsidP="00511536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beaktar i responsen studerande som behöver särskilt stöd samt studerande som representerar olika språk- och kulturgrupper</w:t>
            </w:r>
          </w:p>
        </w:tc>
      </w:tr>
      <w:tr w:rsidR="00511536" w:rsidRPr="004C32E2" w:rsidTr="00990360">
        <w:tc>
          <w:tcPr>
            <w:tcW w:w="163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1536" w:rsidRPr="004C32E2" w:rsidRDefault="00511536" w:rsidP="00754463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Nöjaktiga 2</w:t>
            </w:r>
          </w:p>
        </w:tc>
        <w:tc>
          <w:tcPr>
            <w:tcW w:w="85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536" w:rsidRPr="004C32E2" w:rsidRDefault="00511536" w:rsidP="00754463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511536" w:rsidRPr="004C32E2" w:rsidTr="00990360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1536" w:rsidRPr="004C32E2" w:rsidRDefault="00511536" w:rsidP="00754463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Goda 3</w:t>
            </w:r>
          </w:p>
        </w:tc>
        <w:tc>
          <w:tcPr>
            <w:tcW w:w="857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536" w:rsidRPr="004C32E2" w:rsidRDefault="00511536" w:rsidP="00511536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tar del av den studerandes mål och innehåll för förvärvandet av kunnandet i utbildning som ordnas på en arbetsplats</w:t>
            </w:r>
          </w:p>
          <w:p w:rsidR="00511536" w:rsidRPr="004C32E2" w:rsidRDefault="00511536" w:rsidP="00511536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jämför det kunnande som den studerande förvärvat med de fastställda målen</w:t>
            </w:r>
          </w:p>
          <w:p w:rsidR="00511536" w:rsidRPr="004C32E2" w:rsidRDefault="00511536" w:rsidP="00511536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ger den studerande respons om utvecklingen av kunnandet under tiden för utbildning som ordnas på en arbetsplats</w:t>
            </w:r>
          </w:p>
          <w:p w:rsidR="00511536" w:rsidRPr="004C32E2" w:rsidRDefault="00511536" w:rsidP="00511536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beaktar i responsen på ett ansvarsfullt sätt studerande som behöver särskilt stöd samt studerande som representerar olika språk- och kulturgrupper</w:t>
            </w:r>
          </w:p>
        </w:tc>
      </w:tr>
      <w:tr w:rsidR="00511536" w:rsidRPr="004C32E2" w:rsidTr="00990360">
        <w:tc>
          <w:tcPr>
            <w:tcW w:w="163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1536" w:rsidRPr="004C32E2" w:rsidRDefault="00511536" w:rsidP="00754463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Goda 4</w:t>
            </w:r>
          </w:p>
        </w:tc>
        <w:tc>
          <w:tcPr>
            <w:tcW w:w="85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536" w:rsidRPr="004C32E2" w:rsidRDefault="00511536" w:rsidP="00754463">
            <w:pPr>
              <w:rPr>
                <w:rFonts w:eastAsia="Times New Roman" w:cs="Times New Roman"/>
                <w:szCs w:val="24"/>
                <w:lang w:eastAsia="sv-SE"/>
              </w:rPr>
            </w:pPr>
          </w:p>
        </w:tc>
      </w:tr>
      <w:tr w:rsidR="00511536" w:rsidRPr="004C32E2" w:rsidTr="00990360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1536" w:rsidRPr="004C32E2" w:rsidRDefault="00511536" w:rsidP="00754463">
            <w:pPr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Berömliga 5</w:t>
            </w:r>
          </w:p>
        </w:tc>
        <w:tc>
          <w:tcPr>
            <w:tcW w:w="857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536" w:rsidRPr="004C32E2" w:rsidRDefault="00511536" w:rsidP="00511536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tar del av den studerandes mål och innehåll för förvärvandet av kunnandet i utbildning som ordnas på en arbetsplats och övrigt förvärvande av kunnande</w:t>
            </w:r>
          </w:p>
          <w:p w:rsidR="00511536" w:rsidRPr="004C32E2" w:rsidRDefault="00511536" w:rsidP="00511536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jämför mångsidigt det kunnande som den studerande förvärvat med de fastställda målen</w:t>
            </w:r>
          </w:p>
          <w:p w:rsidR="00511536" w:rsidRPr="004C32E2" w:rsidRDefault="00511536" w:rsidP="00511536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ger den studerande respons om utvecklingen av kunnandet under tiden för utbildning som ordnas på en arbetsplats och övrigt förvärvande av kunnande</w:t>
            </w:r>
          </w:p>
          <w:p w:rsidR="00511536" w:rsidRPr="004C32E2" w:rsidRDefault="00511536" w:rsidP="00511536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sv-SE"/>
              </w:rPr>
            </w:pPr>
            <w:r w:rsidRPr="004C32E2">
              <w:rPr>
                <w:rFonts w:eastAsia="Times New Roman" w:cs="Times New Roman"/>
                <w:szCs w:val="24"/>
                <w:lang w:eastAsia="sv-SE"/>
              </w:rPr>
              <w:t>beaktar i responsen på ett interaktivt och ansvarsfullt sätt studerande som behöver särskilt stöd samt studerande som representerar olika språk- och kulturgrupper.</w:t>
            </w:r>
          </w:p>
        </w:tc>
      </w:tr>
    </w:tbl>
    <w:p w:rsidR="00511536" w:rsidRPr="004C32E2" w:rsidRDefault="00511536" w:rsidP="00511536">
      <w:pPr>
        <w:shd w:val="clear" w:color="auto" w:fill="FFFFFF"/>
        <w:spacing w:before="450" w:after="150"/>
        <w:outlineLvl w:val="2"/>
        <w:rPr>
          <w:rFonts w:ascii="inherit" w:eastAsia="Times New Roman" w:hAnsi="inherit" w:cs="Helvetica"/>
          <w:color w:val="1F1F1F"/>
          <w:sz w:val="27"/>
          <w:szCs w:val="27"/>
          <w:lang w:eastAsia="sv-SE"/>
        </w:rPr>
      </w:pPr>
      <w:r w:rsidRPr="004C32E2">
        <w:rPr>
          <w:rFonts w:ascii="inherit" w:eastAsia="Times New Roman" w:hAnsi="inherit" w:cs="Helvetica"/>
          <w:color w:val="1F1F1F"/>
          <w:sz w:val="27"/>
          <w:szCs w:val="27"/>
          <w:lang w:eastAsia="sv-SE"/>
        </w:rPr>
        <w:t>Sätt att påvisa yrkesskickligheten</w:t>
      </w:r>
    </w:p>
    <w:p w:rsidR="00511536" w:rsidRPr="004C32E2" w:rsidRDefault="00511536" w:rsidP="00511536">
      <w:pPr>
        <w:shd w:val="clear" w:color="auto" w:fill="FFFFFF"/>
        <w:spacing w:after="150"/>
        <w:rPr>
          <w:rFonts w:ascii="Helvetica" w:eastAsia="Times New Roman" w:hAnsi="Helvetica" w:cs="Helvetica"/>
          <w:color w:val="1F1F1F"/>
          <w:sz w:val="21"/>
          <w:szCs w:val="21"/>
          <w:lang w:eastAsia="sv-SE"/>
        </w:rPr>
      </w:pPr>
      <w:r w:rsidRPr="004C32E2">
        <w:rPr>
          <w:rFonts w:ascii="Helvetica" w:eastAsia="Times New Roman" w:hAnsi="Helvetica" w:cs="Helvetica"/>
          <w:color w:val="1F1F1F"/>
          <w:sz w:val="21"/>
          <w:szCs w:val="21"/>
          <w:lang w:eastAsia="sv-SE"/>
        </w:rPr>
        <w:t>Den studerande visar sin yrkesskicklighet i ett yrkesprov i praktiska arbetsuppgifter genom att förbereda och öva sig inför introduktions-, handlednings- och responssituationer. Till de delar som den yrkesskicklighet som krävs i examensdelen inte kan bedömas genom ett yrkesprov, kompletteras visandet av yrkesskickligheten individuellt på andra sätt.</w:t>
      </w:r>
    </w:p>
    <w:p w:rsidR="00511536" w:rsidRDefault="00511536" w:rsidP="00324945">
      <w:pPr>
        <w:pStyle w:val="Normalwebb"/>
        <w:spacing w:before="0" w:beforeAutospacing="0" w:after="150" w:afterAutospacing="0"/>
      </w:pPr>
    </w:p>
    <w:sectPr w:rsidR="00511536" w:rsidSect="00F11474">
      <w:headerReference w:type="default" r:id="rId16"/>
      <w:footerReference w:type="default" r:id="rId17"/>
      <w:type w:val="continuous"/>
      <w:pgSz w:w="11906" w:h="16838"/>
      <w:pgMar w:top="567" w:right="397" w:bottom="39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BA" w:rsidRDefault="000A25BA" w:rsidP="000A25BA">
      <w:r>
        <w:separator/>
      </w:r>
    </w:p>
  </w:endnote>
  <w:endnote w:type="continuationSeparator" w:id="0">
    <w:p w:rsidR="000A25BA" w:rsidRDefault="000A25BA" w:rsidP="000A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D9" w:rsidRPr="003A3DD9" w:rsidRDefault="003A3DD9">
    <w:pPr>
      <w:pStyle w:val="Sidfot"/>
      <w:rPr>
        <w:sz w:val="12"/>
        <w:szCs w:val="12"/>
      </w:rPr>
    </w:pPr>
    <w:r w:rsidRPr="003A3DD9">
      <w:rPr>
        <w:sz w:val="12"/>
        <w:szCs w:val="12"/>
      </w:rPr>
      <w:fldChar w:fldCharType="begin"/>
    </w:r>
    <w:r w:rsidRPr="003A3DD9">
      <w:rPr>
        <w:sz w:val="12"/>
        <w:szCs w:val="12"/>
      </w:rPr>
      <w:instrText xml:space="preserve"> FILENAME  \* Lower \p  \* MERGEFORMAT </w:instrText>
    </w:r>
    <w:r w:rsidRPr="003A3DD9">
      <w:rPr>
        <w:sz w:val="12"/>
        <w:szCs w:val="12"/>
      </w:rPr>
      <w:fldChar w:fldCharType="separate"/>
    </w:r>
    <w:r w:rsidR="00275FEF">
      <w:rPr>
        <w:noProof/>
        <w:sz w:val="12"/>
        <w:szCs w:val="12"/>
      </w:rPr>
      <w:t>h:\examensdelsbeskrivningar till marika\exdelsbeskrivning  arbetsplatshandledare.docx</w:t>
    </w:r>
    <w:r w:rsidRPr="003A3DD9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BA" w:rsidRDefault="000A25BA" w:rsidP="000A25BA">
      <w:r>
        <w:separator/>
      </w:r>
    </w:p>
  </w:footnote>
  <w:footnote w:type="continuationSeparator" w:id="0">
    <w:p w:rsidR="000A25BA" w:rsidRDefault="000A25BA" w:rsidP="000A2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474" w:rsidRPr="00DE2476" w:rsidRDefault="00F11474" w:rsidP="00F11474">
    <w:pPr>
      <w:pStyle w:val="Sidhuvud"/>
      <w:tabs>
        <w:tab w:val="clear" w:pos="4536"/>
        <w:tab w:val="clear" w:pos="9072"/>
        <w:tab w:val="left" w:pos="5194"/>
      </w:tabs>
      <w:rPr>
        <w:szCs w:val="24"/>
      </w:rPr>
    </w:pPr>
    <w:r w:rsidRPr="00F11474">
      <w:rPr>
        <w:noProof/>
        <w:sz w:val="28"/>
        <w:szCs w:val="24"/>
        <w:lang w:eastAsia="sv-SE"/>
      </w:rPr>
      <w:drawing>
        <wp:anchor distT="0" distB="0" distL="114300" distR="114300" simplePos="0" relativeHeight="251660288" behindDoc="0" locked="0" layoutInCell="1" allowOverlap="1" wp14:anchorId="1A8850AE" wp14:editId="7A8BD26A">
          <wp:simplePos x="0" y="0"/>
          <wp:positionH relativeFrom="column">
            <wp:posOffset>9244</wp:posOffset>
          </wp:positionH>
          <wp:positionV relativeFrom="paragraph">
            <wp:posOffset>-301182</wp:posOffset>
          </wp:positionV>
          <wp:extent cx="1093790" cy="627321"/>
          <wp:effectExtent l="0" t="0" r="0" b="190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ÅY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790" cy="627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  <w:szCs w:val="24"/>
      </w:rPr>
      <w:tab/>
    </w:r>
    <w:r w:rsidR="006E671A">
      <w:rPr>
        <w:sz w:val="28"/>
        <w:szCs w:val="24"/>
      </w:rPr>
      <w:t>Examensdelsbeskrivning</w:t>
    </w:r>
    <w:r>
      <w:rPr>
        <w:szCs w:val="24"/>
      </w:rPr>
      <w:tab/>
    </w:r>
    <w:r w:rsidRPr="00DE2476">
      <w:rPr>
        <w:szCs w:val="24"/>
      </w:rPr>
      <w:fldChar w:fldCharType="begin"/>
    </w:r>
    <w:r w:rsidRPr="00DE2476">
      <w:rPr>
        <w:szCs w:val="24"/>
      </w:rPr>
      <w:instrText xml:space="preserve"> PAGE   \* MERGEFORMAT </w:instrText>
    </w:r>
    <w:r w:rsidRPr="00DE2476">
      <w:rPr>
        <w:szCs w:val="24"/>
      </w:rPr>
      <w:fldChar w:fldCharType="separate"/>
    </w:r>
    <w:r w:rsidR="00DB794B">
      <w:rPr>
        <w:noProof/>
        <w:szCs w:val="24"/>
      </w:rPr>
      <w:t>6</w:t>
    </w:r>
    <w:r w:rsidRPr="00DE2476">
      <w:rPr>
        <w:szCs w:val="24"/>
      </w:rPr>
      <w:fldChar w:fldCharType="end"/>
    </w:r>
    <w:r w:rsidRPr="00DE2476">
      <w:rPr>
        <w:szCs w:val="24"/>
      </w:rPr>
      <w:t>(</w:t>
    </w:r>
    <w:r w:rsidRPr="00DE2476">
      <w:rPr>
        <w:szCs w:val="24"/>
      </w:rPr>
      <w:fldChar w:fldCharType="begin"/>
    </w:r>
    <w:r w:rsidRPr="00DE2476">
      <w:rPr>
        <w:szCs w:val="24"/>
      </w:rPr>
      <w:instrText xml:space="preserve"> NUMPAGES   \* MERGEFORMAT </w:instrText>
    </w:r>
    <w:r w:rsidRPr="00DE2476">
      <w:rPr>
        <w:szCs w:val="24"/>
      </w:rPr>
      <w:fldChar w:fldCharType="separate"/>
    </w:r>
    <w:r w:rsidR="00DB794B">
      <w:rPr>
        <w:noProof/>
        <w:szCs w:val="24"/>
      </w:rPr>
      <w:t>8</w:t>
    </w:r>
    <w:r w:rsidRPr="00DE2476">
      <w:rPr>
        <w:szCs w:val="24"/>
      </w:rPr>
      <w:fldChar w:fldCharType="end"/>
    </w:r>
    <w:r w:rsidRPr="00DE2476">
      <w:rPr>
        <w:szCs w:val="24"/>
      </w:rPr>
      <w:t>)</w:t>
    </w:r>
  </w:p>
  <w:p w:rsidR="00F11474" w:rsidRDefault="00F11474" w:rsidP="000A25BA">
    <w:pPr>
      <w:pStyle w:val="Sidhuvud"/>
      <w:tabs>
        <w:tab w:val="clear" w:pos="4536"/>
        <w:tab w:val="clear" w:pos="9072"/>
      </w:tabs>
    </w:pPr>
  </w:p>
  <w:p w:rsidR="00F11474" w:rsidRDefault="00F11474" w:rsidP="000A25BA">
    <w:pPr>
      <w:pStyle w:val="Sidhuvud"/>
      <w:pBdr>
        <w:top w:val="single" w:sz="4" w:space="1" w:color="auto"/>
      </w:pBdr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98E"/>
    <w:multiLevelType w:val="multilevel"/>
    <w:tmpl w:val="4322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02813"/>
    <w:multiLevelType w:val="multilevel"/>
    <w:tmpl w:val="510C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035563"/>
    <w:multiLevelType w:val="multilevel"/>
    <w:tmpl w:val="DC74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2256AC"/>
    <w:multiLevelType w:val="hybridMultilevel"/>
    <w:tmpl w:val="75581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3055B"/>
    <w:multiLevelType w:val="multilevel"/>
    <w:tmpl w:val="4218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C7155"/>
    <w:multiLevelType w:val="hybridMultilevel"/>
    <w:tmpl w:val="48F2E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42052"/>
    <w:multiLevelType w:val="multilevel"/>
    <w:tmpl w:val="4082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ascii="Times New Roman" w:hAnsi="Times New Roman" w:cs="Times New Roman" w:hint="default"/>
        <w:color w:val="2E74B5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ascii="Times New Roman" w:hAnsi="Times New Roman" w:cs="Times New Roman" w:hint="default"/>
        <w:color w:val="2E74B5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2E74B5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ascii="Times New Roman" w:hAnsi="Times New Roman" w:cs="Times New Roman" w:hint="default"/>
        <w:color w:val="2E74B5" w:themeColor="accent1" w:themeShade="BF"/>
      </w:rPr>
    </w:lvl>
  </w:abstractNum>
  <w:abstractNum w:abstractNumId="8" w15:restartNumberingAfterBreak="0">
    <w:nsid w:val="13815F2A"/>
    <w:multiLevelType w:val="multilevel"/>
    <w:tmpl w:val="286A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AA7B56"/>
    <w:multiLevelType w:val="multilevel"/>
    <w:tmpl w:val="CA4E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8B7209"/>
    <w:multiLevelType w:val="multilevel"/>
    <w:tmpl w:val="117A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D44A7F"/>
    <w:multiLevelType w:val="multilevel"/>
    <w:tmpl w:val="5E0C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BA5A75"/>
    <w:multiLevelType w:val="multilevel"/>
    <w:tmpl w:val="1CA8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A9153E"/>
    <w:multiLevelType w:val="multilevel"/>
    <w:tmpl w:val="608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3D3050"/>
    <w:multiLevelType w:val="multilevel"/>
    <w:tmpl w:val="6EE8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7A0FD8"/>
    <w:multiLevelType w:val="multilevel"/>
    <w:tmpl w:val="FAEE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FE4B60"/>
    <w:multiLevelType w:val="multilevel"/>
    <w:tmpl w:val="BE9E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81B19"/>
    <w:multiLevelType w:val="multilevel"/>
    <w:tmpl w:val="9890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9C03D8"/>
    <w:multiLevelType w:val="multilevel"/>
    <w:tmpl w:val="418C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E40452"/>
    <w:multiLevelType w:val="multilevel"/>
    <w:tmpl w:val="D34C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AB1C6C"/>
    <w:multiLevelType w:val="multilevel"/>
    <w:tmpl w:val="3694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2060B0"/>
    <w:multiLevelType w:val="hybridMultilevel"/>
    <w:tmpl w:val="2F08C8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F08A3"/>
    <w:multiLevelType w:val="multilevel"/>
    <w:tmpl w:val="1A22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FF2803"/>
    <w:multiLevelType w:val="multilevel"/>
    <w:tmpl w:val="4FC8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407346"/>
    <w:multiLevelType w:val="multilevel"/>
    <w:tmpl w:val="20C4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543EE0"/>
    <w:multiLevelType w:val="hybridMultilevel"/>
    <w:tmpl w:val="950092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D0762"/>
    <w:multiLevelType w:val="multilevel"/>
    <w:tmpl w:val="C8B6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A26D8F"/>
    <w:multiLevelType w:val="multilevel"/>
    <w:tmpl w:val="AF66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1E684A"/>
    <w:multiLevelType w:val="multilevel"/>
    <w:tmpl w:val="4A4A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2F7BDE"/>
    <w:multiLevelType w:val="multilevel"/>
    <w:tmpl w:val="ABE6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F01256"/>
    <w:multiLevelType w:val="hybridMultilevel"/>
    <w:tmpl w:val="D00CE7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86EE6"/>
    <w:multiLevelType w:val="multilevel"/>
    <w:tmpl w:val="9EE8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622D5E"/>
    <w:multiLevelType w:val="multilevel"/>
    <w:tmpl w:val="5AC6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476845"/>
    <w:multiLevelType w:val="hybridMultilevel"/>
    <w:tmpl w:val="B5806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161D6"/>
    <w:multiLevelType w:val="multilevel"/>
    <w:tmpl w:val="31E8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3E1FC4"/>
    <w:multiLevelType w:val="multilevel"/>
    <w:tmpl w:val="BF84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102EE8"/>
    <w:multiLevelType w:val="multilevel"/>
    <w:tmpl w:val="480A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4C27E0"/>
    <w:multiLevelType w:val="multilevel"/>
    <w:tmpl w:val="F608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B14E4E"/>
    <w:multiLevelType w:val="multilevel"/>
    <w:tmpl w:val="DFE4D962"/>
    <w:numStyleLink w:val="MallPunktlista"/>
  </w:abstractNum>
  <w:abstractNum w:abstractNumId="39" w15:restartNumberingAfterBreak="0">
    <w:nsid w:val="7B3A2469"/>
    <w:multiLevelType w:val="multilevel"/>
    <w:tmpl w:val="3144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FD7520"/>
    <w:multiLevelType w:val="multilevel"/>
    <w:tmpl w:val="4B2A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285196"/>
    <w:multiLevelType w:val="multilevel"/>
    <w:tmpl w:val="496E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0860DF"/>
    <w:multiLevelType w:val="multilevel"/>
    <w:tmpl w:val="3F24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8"/>
  </w:num>
  <w:num w:numId="3">
    <w:abstractNumId w:val="3"/>
  </w:num>
  <w:num w:numId="4">
    <w:abstractNumId w:val="5"/>
  </w:num>
  <w:num w:numId="5">
    <w:abstractNumId w:val="9"/>
  </w:num>
  <w:num w:numId="6">
    <w:abstractNumId w:val="38"/>
  </w:num>
  <w:num w:numId="7">
    <w:abstractNumId w:val="25"/>
  </w:num>
  <w:num w:numId="8">
    <w:abstractNumId w:val="21"/>
  </w:num>
  <w:num w:numId="9">
    <w:abstractNumId w:val="30"/>
  </w:num>
  <w:num w:numId="10">
    <w:abstractNumId w:val="33"/>
  </w:num>
  <w:num w:numId="11">
    <w:abstractNumId w:val="15"/>
  </w:num>
  <w:num w:numId="12">
    <w:abstractNumId w:val="41"/>
  </w:num>
  <w:num w:numId="13">
    <w:abstractNumId w:val="0"/>
  </w:num>
  <w:num w:numId="14">
    <w:abstractNumId w:val="40"/>
  </w:num>
  <w:num w:numId="15">
    <w:abstractNumId w:val="24"/>
  </w:num>
  <w:num w:numId="16">
    <w:abstractNumId w:val="1"/>
  </w:num>
  <w:num w:numId="17">
    <w:abstractNumId w:val="2"/>
  </w:num>
  <w:num w:numId="18">
    <w:abstractNumId w:val="4"/>
  </w:num>
  <w:num w:numId="19">
    <w:abstractNumId w:val="16"/>
  </w:num>
  <w:num w:numId="20">
    <w:abstractNumId w:val="18"/>
  </w:num>
  <w:num w:numId="21">
    <w:abstractNumId w:val="8"/>
  </w:num>
  <w:num w:numId="22">
    <w:abstractNumId w:val="37"/>
  </w:num>
  <w:num w:numId="23">
    <w:abstractNumId w:val="35"/>
  </w:num>
  <w:num w:numId="24">
    <w:abstractNumId w:val="26"/>
  </w:num>
  <w:num w:numId="25">
    <w:abstractNumId w:val="31"/>
  </w:num>
  <w:num w:numId="26">
    <w:abstractNumId w:val="14"/>
  </w:num>
  <w:num w:numId="27">
    <w:abstractNumId w:val="36"/>
  </w:num>
  <w:num w:numId="28">
    <w:abstractNumId w:val="19"/>
  </w:num>
  <w:num w:numId="29">
    <w:abstractNumId w:val="12"/>
  </w:num>
  <w:num w:numId="30">
    <w:abstractNumId w:val="39"/>
  </w:num>
  <w:num w:numId="31">
    <w:abstractNumId w:val="10"/>
  </w:num>
  <w:num w:numId="32">
    <w:abstractNumId w:val="11"/>
  </w:num>
  <w:num w:numId="33">
    <w:abstractNumId w:val="17"/>
  </w:num>
  <w:num w:numId="34">
    <w:abstractNumId w:val="22"/>
  </w:num>
  <w:num w:numId="35">
    <w:abstractNumId w:val="42"/>
  </w:num>
  <w:num w:numId="36">
    <w:abstractNumId w:val="29"/>
  </w:num>
  <w:num w:numId="37">
    <w:abstractNumId w:val="34"/>
  </w:num>
  <w:num w:numId="38">
    <w:abstractNumId w:val="13"/>
  </w:num>
  <w:num w:numId="39">
    <w:abstractNumId w:val="6"/>
  </w:num>
  <w:num w:numId="40">
    <w:abstractNumId w:val="23"/>
  </w:num>
  <w:num w:numId="41">
    <w:abstractNumId w:val="32"/>
  </w:num>
  <w:num w:numId="42">
    <w:abstractNumId w:val="27"/>
  </w:num>
  <w:num w:numId="43">
    <w:abstractNumId w:val="28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08"/>
    <w:rsid w:val="00015BBF"/>
    <w:rsid w:val="00016009"/>
    <w:rsid w:val="0003139F"/>
    <w:rsid w:val="0004315C"/>
    <w:rsid w:val="00043CA5"/>
    <w:rsid w:val="00044835"/>
    <w:rsid w:val="00055B46"/>
    <w:rsid w:val="0009018E"/>
    <w:rsid w:val="000A0B64"/>
    <w:rsid w:val="000A25BA"/>
    <w:rsid w:val="00144D46"/>
    <w:rsid w:val="00163DEA"/>
    <w:rsid w:val="00182CCE"/>
    <w:rsid w:val="001D5347"/>
    <w:rsid w:val="00217B99"/>
    <w:rsid w:val="00271B75"/>
    <w:rsid w:val="00275FEF"/>
    <w:rsid w:val="00292D26"/>
    <w:rsid w:val="002C0D55"/>
    <w:rsid w:val="002E4860"/>
    <w:rsid w:val="00321C46"/>
    <w:rsid w:val="00324945"/>
    <w:rsid w:val="003377BA"/>
    <w:rsid w:val="00374E6C"/>
    <w:rsid w:val="003977E9"/>
    <w:rsid w:val="003A3DD9"/>
    <w:rsid w:val="003A5280"/>
    <w:rsid w:val="003C600E"/>
    <w:rsid w:val="00410A8A"/>
    <w:rsid w:val="004279A7"/>
    <w:rsid w:val="004917FD"/>
    <w:rsid w:val="004D35B9"/>
    <w:rsid w:val="004E6801"/>
    <w:rsid w:val="00511536"/>
    <w:rsid w:val="00523E36"/>
    <w:rsid w:val="00525309"/>
    <w:rsid w:val="00531068"/>
    <w:rsid w:val="0056346D"/>
    <w:rsid w:val="005826A5"/>
    <w:rsid w:val="005A0495"/>
    <w:rsid w:val="005A2F8B"/>
    <w:rsid w:val="005D4174"/>
    <w:rsid w:val="005E6BB6"/>
    <w:rsid w:val="006078E4"/>
    <w:rsid w:val="00631E7E"/>
    <w:rsid w:val="00651D34"/>
    <w:rsid w:val="00665AAC"/>
    <w:rsid w:val="006833BE"/>
    <w:rsid w:val="006A3C92"/>
    <w:rsid w:val="006B5348"/>
    <w:rsid w:val="006D013D"/>
    <w:rsid w:val="006D1108"/>
    <w:rsid w:val="006E2BA3"/>
    <w:rsid w:val="006E671A"/>
    <w:rsid w:val="00704148"/>
    <w:rsid w:val="007062DA"/>
    <w:rsid w:val="00707737"/>
    <w:rsid w:val="007169E3"/>
    <w:rsid w:val="0075205C"/>
    <w:rsid w:val="007608A5"/>
    <w:rsid w:val="0076344F"/>
    <w:rsid w:val="007D3715"/>
    <w:rsid w:val="007E0886"/>
    <w:rsid w:val="008016CD"/>
    <w:rsid w:val="00841C46"/>
    <w:rsid w:val="008665FD"/>
    <w:rsid w:val="00871F29"/>
    <w:rsid w:val="008F4508"/>
    <w:rsid w:val="008F53FA"/>
    <w:rsid w:val="00902828"/>
    <w:rsid w:val="0091651B"/>
    <w:rsid w:val="0094702F"/>
    <w:rsid w:val="009700F5"/>
    <w:rsid w:val="009855DE"/>
    <w:rsid w:val="00990360"/>
    <w:rsid w:val="00993753"/>
    <w:rsid w:val="009A25E2"/>
    <w:rsid w:val="009D2A27"/>
    <w:rsid w:val="009E2735"/>
    <w:rsid w:val="009F4996"/>
    <w:rsid w:val="00A029AD"/>
    <w:rsid w:val="00A748B6"/>
    <w:rsid w:val="00A75B24"/>
    <w:rsid w:val="00A94CA9"/>
    <w:rsid w:val="00AA13FB"/>
    <w:rsid w:val="00AC796A"/>
    <w:rsid w:val="00AE29CF"/>
    <w:rsid w:val="00AE5B8E"/>
    <w:rsid w:val="00B1371C"/>
    <w:rsid w:val="00B5342B"/>
    <w:rsid w:val="00B67984"/>
    <w:rsid w:val="00B96DDF"/>
    <w:rsid w:val="00C037C2"/>
    <w:rsid w:val="00C2262A"/>
    <w:rsid w:val="00C30F8A"/>
    <w:rsid w:val="00C57B25"/>
    <w:rsid w:val="00C82181"/>
    <w:rsid w:val="00C95554"/>
    <w:rsid w:val="00CC3409"/>
    <w:rsid w:val="00CD2160"/>
    <w:rsid w:val="00D574AC"/>
    <w:rsid w:val="00DB794B"/>
    <w:rsid w:val="00DD4686"/>
    <w:rsid w:val="00DE2476"/>
    <w:rsid w:val="00DE65BB"/>
    <w:rsid w:val="00DF1521"/>
    <w:rsid w:val="00E0706A"/>
    <w:rsid w:val="00E17A81"/>
    <w:rsid w:val="00E34F0E"/>
    <w:rsid w:val="00E43B0C"/>
    <w:rsid w:val="00E5437A"/>
    <w:rsid w:val="00E550EC"/>
    <w:rsid w:val="00EF6C0F"/>
    <w:rsid w:val="00F02308"/>
    <w:rsid w:val="00F03CBF"/>
    <w:rsid w:val="00F11474"/>
    <w:rsid w:val="00F15210"/>
    <w:rsid w:val="00F25C3C"/>
    <w:rsid w:val="00F360B6"/>
    <w:rsid w:val="00F63EAC"/>
    <w:rsid w:val="00F72AAC"/>
    <w:rsid w:val="00F74C97"/>
    <w:rsid w:val="00F93DF9"/>
    <w:rsid w:val="00F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9DE24FB9-CEAE-4D59-BE65-3E1CB11C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3FA"/>
    <w:pPr>
      <w:spacing w:after="0" w:line="240" w:lineRule="auto"/>
    </w:pPr>
    <w:rPr>
      <w:rFonts w:ascii="Times New Roman" w:hAnsi="Times New Roman"/>
      <w:sz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4508"/>
    <w:pPr>
      <w:keepNext/>
      <w:keepLines/>
      <w:suppressAutoHyphens/>
      <w:spacing w:before="120"/>
      <w:outlineLvl w:val="1"/>
    </w:pPr>
    <w:rPr>
      <w:rFonts w:ascii="Corbel" w:eastAsiaTheme="majorEastAsia" w:hAnsi="Corbel" w:cstheme="majorBidi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F15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F15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F15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F4508"/>
    <w:rPr>
      <w:rFonts w:ascii="Corbel" w:eastAsiaTheme="majorEastAsia" w:hAnsi="Corbel" w:cstheme="majorBidi"/>
      <w:lang w:eastAsia="sv-SE"/>
    </w:rPr>
  </w:style>
  <w:style w:type="character" w:styleId="Stark">
    <w:name w:val="Strong"/>
    <w:basedOn w:val="Standardstycketeckensnitt"/>
    <w:uiPriority w:val="22"/>
    <w:qFormat/>
    <w:rsid w:val="008F4508"/>
    <w:rPr>
      <w:b/>
      <w:bCs/>
    </w:rPr>
  </w:style>
  <w:style w:type="paragraph" w:styleId="Punktlista">
    <w:name w:val="List Bullet"/>
    <w:basedOn w:val="Normal"/>
    <w:uiPriority w:val="3"/>
    <w:qFormat/>
    <w:rsid w:val="008F4508"/>
    <w:pPr>
      <w:numPr>
        <w:numId w:val="2"/>
      </w:numPr>
      <w:spacing w:before="8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2">
    <w:name w:val="List Bullet 2"/>
    <w:basedOn w:val="Normal"/>
    <w:uiPriority w:val="3"/>
    <w:semiHidden/>
    <w:rsid w:val="008F4508"/>
    <w:pPr>
      <w:numPr>
        <w:ilvl w:val="1"/>
        <w:numId w:val="2"/>
      </w:numPr>
      <w:spacing w:before="8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paragraph" w:styleId="Punktlista3">
    <w:name w:val="List Bullet 3"/>
    <w:basedOn w:val="Normal"/>
    <w:uiPriority w:val="3"/>
    <w:semiHidden/>
    <w:rsid w:val="008F4508"/>
    <w:pPr>
      <w:numPr>
        <w:ilvl w:val="2"/>
        <w:numId w:val="2"/>
      </w:numPr>
      <w:tabs>
        <w:tab w:val="left" w:pos="454"/>
      </w:tabs>
      <w:spacing w:before="8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paragraph" w:styleId="Punktlista4">
    <w:name w:val="List Bullet 4"/>
    <w:basedOn w:val="Normal"/>
    <w:uiPriority w:val="3"/>
    <w:semiHidden/>
    <w:rsid w:val="008F4508"/>
    <w:pPr>
      <w:numPr>
        <w:ilvl w:val="3"/>
        <w:numId w:val="2"/>
      </w:numPr>
      <w:spacing w:before="8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5">
    <w:name w:val="List Bullet 5"/>
    <w:basedOn w:val="Punktlista4"/>
    <w:uiPriority w:val="3"/>
    <w:semiHidden/>
    <w:rsid w:val="008F4508"/>
    <w:pPr>
      <w:numPr>
        <w:ilvl w:val="4"/>
      </w:numPr>
    </w:pPr>
  </w:style>
  <w:style w:type="numbering" w:customStyle="1" w:styleId="MallPunktlista">
    <w:name w:val="Mall Punktlista"/>
    <w:uiPriority w:val="99"/>
    <w:rsid w:val="008F4508"/>
    <w:pPr>
      <w:numPr>
        <w:numId w:val="1"/>
      </w:numPr>
    </w:pPr>
  </w:style>
  <w:style w:type="paragraph" w:styleId="Liststycke">
    <w:name w:val="List Paragraph"/>
    <w:basedOn w:val="Normal"/>
    <w:uiPriority w:val="34"/>
    <w:qFormat/>
    <w:rsid w:val="005E6BB6"/>
    <w:pPr>
      <w:ind w:left="720"/>
      <w:contextualSpacing/>
    </w:pPr>
  </w:style>
  <w:style w:type="character" w:customStyle="1" w:styleId="StyckeChar">
    <w:name w:val="Stycke Char"/>
    <w:basedOn w:val="Standardstycketeckensnitt"/>
    <w:link w:val="Stycke"/>
    <w:uiPriority w:val="1"/>
    <w:locked/>
    <w:rsid w:val="00704148"/>
    <w:rPr>
      <w:rFonts w:ascii="Times New Roman" w:eastAsiaTheme="minorEastAsia" w:hAnsi="Times New Roman" w:cs="Times New Roman"/>
      <w:sz w:val="19"/>
      <w:szCs w:val="18"/>
      <w:lang w:eastAsia="sv-SE"/>
      <w14:ligatures w14:val="all"/>
      <w14:numForm w14:val="oldStyle"/>
    </w:rPr>
  </w:style>
  <w:style w:type="paragraph" w:customStyle="1" w:styleId="Stycke">
    <w:name w:val="Stycke"/>
    <w:link w:val="StyckeChar"/>
    <w:uiPriority w:val="1"/>
    <w:qFormat/>
    <w:rsid w:val="00704148"/>
    <w:pPr>
      <w:spacing w:before="80" w:after="0" w:line="312" w:lineRule="auto"/>
    </w:pPr>
    <w:rPr>
      <w:rFonts w:ascii="Times New Roman" w:eastAsiaTheme="minorEastAsia" w:hAnsi="Times New Roman" w:cs="Times New Roman"/>
      <w:sz w:val="19"/>
      <w:szCs w:val="18"/>
      <w:lang w:eastAsia="sv-SE"/>
      <w14:ligatures w14:val="all"/>
      <w14:numForm w14:val="oldStyle"/>
    </w:rPr>
  </w:style>
  <w:style w:type="paragraph" w:styleId="Sidhuvud">
    <w:name w:val="header"/>
    <w:basedOn w:val="Normal"/>
    <w:link w:val="SidhuvudChar"/>
    <w:uiPriority w:val="99"/>
    <w:unhideWhenUsed/>
    <w:rsid w:val="000A25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A25BA"/>
  </w:style>
  <w:style w:type="paragraph" w:styleId="Sidfot">
    <w:name w:val="footer"/>
    <w:basedOn w:val="Normal"/>
    <w:link w:val="SidfotChar"/>
    <w:uiPriority w:val="99"/>
    <w:unhideWhenUsed/>
    <w:rsid w:val="000A25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A25BA"/>
  </w:style>
  <w:style w:type="paragraph" w:styleId="Ballongtext">
    <w:name w:val="Balloon Text"/>
    <w:basedOn w:val="Normal"/>
    <w:link w:val="BallongtextChar"/>
    <w:uiPriority w:val="99"/>
    <w:semiHidden/>
    <w:unhideWhenUsed/>
    <w:rsid w:val="00DE247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2476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95554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F15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F152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F1521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g-scope">
    <w:name w:val="ng-scope"/>
    <w:basedOn w:val="Standardstycketeckensnitt"/>
    <w:rsid w:val="007608A5"/>
  </w:style>
  <w:style w:type="character" w:customStyle="1" w:styleId="ng-binding">
    <w:name w:val="ng-binding"/>
    <w:basedOn w:val="Standardstycketeckensnitt"/>
    <w:rsid w:val="007608A5"/>
  </w:style>
  <w:style w:type="paragraph" w:styleId="Normalwebb">
    <w:name w:val="Normal (Web)"/>
    <w:basedOn w:val="Normal"/>
    <w:uiPriority w:val="99"/>
    <w:semiHidden/>
    <w:unhideWhenUsed/>
    <w:rsid w:val="007608A5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51D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3511">
              <w:marLeft w:val="75"/>
              <w:marRight w:val="75"/>
              <w:marTop w:val="300"/>
              <w:marBottom w:val="75"/>
              <w:divBdr>
                <w:top w:val="single" w:sz="6" w:space="0" w:color="0C566E"/>
                <w:left w:val="single" w:sz="6" w:space="0" w:color="0C566E"/>
                <w:bottom w:val="single" w:sz="6" w:space="0" w:color="0C566E"/>
                <w:right w:val="single" w:sz="6" w:space="0" w:color="0C566E"/>
              </w:divBdr>
              <w:divsChild>
                <w:div w:id="190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5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767">
              <w:marLeft w:val="75"/>
              <w:marRight w:val="75"/>
              <w:marTop w:val="300"/>
              <w:marBottom w:val="75"/>
              <w:divBdr>
                <w:top w:val="single" w:sz="6" w:space="0" w:color="0C566E"/>
                <w:left w:val="single" w:sz="6" w:space="0" w:color="0C566E"/>
                <w:bottom w:val="single" w:sz="6" w:space="0" w:color="0C566E"/>
                <w:right w:val="single" w:sz="6" w:space="0" w:color="0C566E"/>
              </w:divBdr>
              <w:divsChild>
                <w:div w:id="9993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7308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85427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9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51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3015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45374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1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6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8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02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9808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43047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6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0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9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2211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2209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6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9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9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6481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9706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1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8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8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7490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935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1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1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1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3176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04302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1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0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2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1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99319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5098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6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6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79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5631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20739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2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97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89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35428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30535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4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0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6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eringen.ax" TargetMode="External"/><Relationship Id="rId13" Type="http://schemas.openxmlformats.org/officeDocument/2006/relationships/hyperlink" Target="https://blogit.gradia.fi/parasta_osaamista/wp-content/uploads/sites/20/2019/12/Muistilista_opiskelijalle_SE_NETTI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it.gradia.fi/parasta_osaamista/wp-content/uploads/sites/20/2019/12/Muistilista_opettajille_SE_NETTI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it.gradia.fi/parasta_osaamista/wp-content/uploads/sites/20/2019/12/Muistilista_ohjaajalle_SE_NETT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tl.fi/wp-content/uploads/2019/04/Moniosaa_opas_SVENSKA.pdf" TargetMode="External"/><Relationship Id="rId10" Type="http://schemas.openxmlformats.org/officeDocument/2006/relationships/hyperlink" Target="http://www.alandsgymnasium.a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ms.ax" TargetMode="External"/><Relationship Id="rId14" Type="http://schemas.openxmlformats.org/officeDocument/2006/relationships/hyperlink" Target="https://blogit.gradia.fi/parasta_osaamista/pa-svenska/guider-om-bedomning-av-kunnan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7738F-1C4D-42A7-B775-FD49F1FB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1562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Daja Rothberg</cp:lastModifiedBy>
  <cp:revision>13</cp:revision>
  <cp:lastPrinted>2020-09-23T10:32:00Z</cp:lastPrinted>
  <dcterms:created xsi:type="dcterms:W3CDTF">2020-09-22T12:30:00Z</dcterms:created>
  <dcterms:modified xsi:type="dcterms:W3CDTF">2020-09-24T10:13:00Z</dcterms:modified>
</cp:coreProperties>
</file>